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220" w:bottom="280" w:left="0" w:right="540"/>
        </w:sectPr>
      </w:pPr>
    </w:p>
    <w:p>
      <w:pPr>
        <w:pStyle w:val="P68B1DB1-Title1"/>
        <w:spacing w:line="199" w:lineRule="auto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720" w:right="0" w:firstLine="0"/>
        <w:jc w:val="left"/>
        <w:rPr>
          <w:sz w:val="24"/>
        </w:rPr>
        <w:pStyle w:val="P68B1DB1-Normal2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5">
        <w:r>
          <w:rPr>
            <w:b/>
            <w:color w:val="A83F52"/>
          </w:rPr>
          <w:t>madgetech.com</w:t>
        </w:r>
      </w:hyperlink>
      <w:r>
        <w:t>。</w:t>
      </w:r>
    </w:p>
    <w:p>
      <w:pPr>
        <w:spacing w:line="240" w:lineRule="auto" w:before="30" w:after="25"/>
        <w:rPr>
          <w:sz w:val="20"/>
        </w:rPr>
      </w:pPr>
      <w:r>
        <w:br w:type="column"/>
      </w:r>
    </w:p>
    <w:p>
      <w:pPr>
        <w:pStyle w:val="P68B1DB1-BodyText4"/>
        <w:ind w:left="627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371850" cy="36385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3371850" cy="363855"/>
                        </a:xfrm>
                        <a:prstGeom prst="rect">
                          <a:avLst/>
                        </a:prstGeom>
                        <a:solidFill>
                          <a:srgbClr val="A83F52"/>
                        </a:solidFill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2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  <w:pStyle w:val="P68B1DB1-Normal3"/>
                            </w:pPr>
                            <w:r>
                              <w:rPr>
                                <w:spacing w:val="-2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before="104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产品</w:t>
        </w:r>
      </w:hyperlink>
      <w:r>
        <w:rPr>
          <w:spacing w:val="-2"/>
        </w:rPr>
        <w:t>概述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安装</w:t>
        </w:r>
        <w:r>
          <w:rPr>
            <w:spacing w:val="-2"/>
          </w:rPr>
          <w:t>指南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6" name="图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设备</w:t>
        </w:r>
        <w:r>
          <w:rPr>
            <w:spacing w:val="-2"/>
          </w:rPr>
          <w:t>操作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9" name="图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3</w:t>
      </w:r>
      <w:hyperlink w:history="true" w:anchor="_bookmark1">
        <w:r>
          <w:t>设备</w:t>
        </w:r>
        <w:r>
          <w:rPr>
            <w:spacing w:val="-2"/>
          </w:rPr>
          <w:t>维护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4</w:t>
      </w:r>
      <w:hyperlink w:history="true" w:anchor="_bookmark2">
        <w:r>
          <w:t>附录</w:t>
        </w:r>
      </w:hyperlink>
      <w:r>
        <w:rPr>
          <w:spacing w:val="-10"/>
        </w:rPr>
        <w:t>A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220" w:bottom="280" w:left="0" w:right="540"/>
          <w:cols w:num="2" w:equalWidth="0">
            <w:col w:w="5061" w:space="521"/>
            <w:col w:w="6118"/>
          </w:cols>
        </w:sectPr>
      </w:pPr>
    </w:p>
    <w:p>
      <w:pPr>
        <w:pStyle w:val="BodyText"/>
        <w:spacing w:before="2"/>
        <w:rPr>
          <w:sz w:val="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775423</wp:posOffset>
                </wp:positionV>
                <wp:extent cx="7772400" cy="3333115"/>
                <wp:effectExtent l="0" t="0" r="0" b="0"/>
                <wp:wrapNone/>
                <wp:docPr id="14" name="组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组14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15" name="图15"/>
                        <wps:cNvSpPr/>
                        <wps:spPr>
                          <a:xfrm>
                            <a:off x="0" y="302044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3F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3902900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3943350" y="37909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1104" y="175552"/>
                            <a:ext cx="1311979" cy="2623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4550" y="1748447"/>
                            <a:ext cx="3242990" cy="1317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20"/>
                        <wps:cNvSpPr txBox="1"/>
                        <wps:spPr>
                          <a:xfrm>
                            <a:off x="0" y="302044"/>
                            <a:ext cx="3903345" cy="2616835"/>
                          </a:xfrm>
                          <a:prstGeom prst="rect">
                            <a:avLst/>
                          </a:prstGeom>
                          <a:solidFill>
                            <a:srgbClr val="A83F52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36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2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6"/>
                              </w:pPr>
                              <w:r>
                                <w:t>Temp1000Ex</w:t>
                              </w:r>
                            </w:p>
                            <w:p>
                              <w:pPr>
                                <w:spacing w:line="218" w:lineRule="auto" w:before="24"/>
                                <w:ind w:left="720" w:right="466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7"/>
                              </w:pPr>
                              <w:r>
                                <w:rPr>
                                  <w:spacing w:val="-2"/>
                                </w:rPr>
                                <w:t>内部</w:t>
                              </w:r>
                              <w:r>
                                <w:rPr>
                                  <w:spacing w:val="-2"/>
                                </w:rPr>
                                <w:t>安全</w:t>
                              </w:r>
                              <w:r>
                                <w:rPr>
                                  <w:spacing w:val="-2"/>
                                </w:rPr>
                                <w:t>温度</w:t>
                              </w:r>
                              <w:r>
                                <w:t>数据记录器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21" name="图像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图像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2496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22" name="图像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图像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68B1DB1-BodyText8"/>
        <w:spacing w:line="20" w:lineRule="exact"/>
        <w:ind w:left="620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3368675" cy="3175"/>
                <wp:effectExtent l="9525" t="0" r="0" b="6350"/>
                <wp:docPr id="23" name="组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组23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24" name="图形24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83F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457203</wp:posOffset>
                </wp:positionH>
                <wp:positionV relativeFrom="paragraph">
                  <wp:posOffset>222185</wp:posOffset>
                </wp:positionV>
                <wp:extent cx="247650" cy="466725"/>
                <wp:effectExtent l="0" t="0" r="0" b="0"/>
                <wp:wrapTopAndBottom/>
                <wp:docPr id="26" name="图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图26"/>
                      <wps:cNvSpPr/>
                      <wps:spPr>
                        <a:xfrm>
                          <a:off x="0" y="0"/>
                          <a:ext cx="24765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466725">
                              <a:moveTo>
                                <a:pt x="237401" y="0"/>
                              </a:moveTo>
                              <a:lnTo>
                                <a:pt x="232422" y="0"/>
                              </a:lnTo>
                              <a:lnTo>
                                <a:pt x="185637" y="4745"/>
                              </a:lnTo>
                              <a:lnTo>
                                <a:pt x="142035" y="18352"/>
                              </a:lnTo>
                              <a:lnTo>
                                <a:pt x="102558" y="39875"/>
                              </a:lnTo>
                              <a:lnTo>
                                <a:pt x="68148" y="68370"/>
                              </a:lnTo>
                              <a:lnTo>
                                <a:pt x="39745" y="102892"/>
                              </a:lnTo>
                              <a:lnTo>
                                <a:pt x="18292" y="142496"/>
                              </a:lnTo>
                              <a:lnTo>
                                <a:pt x="4730" y="186237"/>
                              </a:lnTo>
                              <a:lnTo>
                                <a:pt x="0" y="233172"/>
                              </a:lnTo>
                              <a:lnTo>
                                <a:pt x="4730" y="280106"/>
                              </a:lnTo>
                              <a:lnTo>
                                <a:pt x="18292" y="323847"/>
                              </a:lnTo>
                              <a:lnTo>
                                <a:pt x="39745" y="363451"/>
                              </a:lnTo>
                              <a:lnTo>
                                <a:pt x="68148" y="397973"/>
                              </a:lnTo>
                              <a:lnTo>
                                <a:pt x="102558" y="426468"/>
                              </a:lnTo>
                              <a:lnTo>
                                <a:pt x="142035" y="447991"/>
                              </a:lnTo>
                              <a:lnTo>
                                <a:pt x="185637" y="461598"/>
                              </a:lnTo>
                              <a:lnTo>
                                <a:pt x="232422" y="466344"/>
                              </a:lnTo>
                              <a:lnTo>
                                <a:pt x="242379" y="466191"/>
                              </a:lnTo>
                              <a:lnTo>
                                <a:pt x="247357" y="465874"/>
                              </a:lnTo>
                              <a:lnTo>
                                <a:pt x="247357" y="414604"/>
                              </a:lnTo>
                              <a:lnTo>
                                <a:pt x="237401" y="415213"/>
                              </a:lnTo>
                              <a:lnTo>
                                <a:pt x="232422" y="415213"/>
                              </a:lnTo>
                              <a:lnTo>
                                <a:pt x="184242" y="408700"/>
                              </a:lnTo>
                              <a:lnTo>
                                <a:pt x="140914" y="390324"/>
                              </a:lnTo>
                              <a:lnTo>
                                <a:pt x="104181" y="361835"/>
                              </a:lnTo>
                              <a:lnTo>
                                <a:pt x="75785" y="324981"/>
                              </a:lnTo>
                              <a:lnTo>
                                <a:pt x="57470" y="281511"/>
                              </a:lnTo>
                              <a:lnTo>
                                <a:pt x="50977" y="233172"/>
                              </a:lnTo>
                              <a:lnTo>
                                <a:pt x="57470" y="184832"/>
                              </a:lnTo>
                              <a:lnTo>
                                <a:pt x="75785" y="141362"/>
                              </a:lnTo>
                              <a:lnTo>
                                <a:pt x="104181" y="104508"/>
                              </a:lnTo>
                              <a:lnTo>
                                <a:pt x="140914" y="76019"/>
                              </a:lnTo>
                              <a:lnTo>
                                <a:pt x="184242" y="57643"/>
                              </a:lnTo>
                              <a:lnTo>
                                <a:pt x="232422" y="51130"/>
                              </a:lnTo>
                              <a:lnTo>
                                <a:pt x="242392" y="51333"/>
                              </a:lnTo>
                              <a:lnTo>
                                <a:pt x="247357" y="51739"/>
                              </a:lnTo>
                              <a:lnTo>
                                <a:pt x="247357" y="469"/>
                              </a:lnTo>
                              <a:lnTo>
                                <a:pt x="2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871063</wp:posOffset>
                </wp:positionH>
                <wp:positionV relativeFrom="paragraph">
                  <wp:posOffset>222185</wp:posOffset>
                </wp:positionV>
                <wp:extent cx="245745" cy="466725"/>
                <wp:effectExtent l="0" t="0" r="0" b="0"/>
                <wp:wrapTopAndBottom/>
                <wp:docPr id="27" name="图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图27"/>
                      <wps:cNvSpPr/>
                      <wps:spPr>
                        <a:xfrm>
                          <a:off x="0" y="0"/>
                          <a:ext cx="24574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466725">
                              <a:moveTo>
                                <a:pt x="232422" y="0"/>
                              </a:moveTo>
                              <a:lnTo>
                                <a:pt x="185641" y="4745"/>
                              </a:lnTo>
                              <a:lnTo>
                                <a:pt x="142040" y="18352"/>
                              </a:lnTo>
                              <a:lnTo>
                                <a:pt x="102564" y="39875"/>
                              </a:lnTo>
                              <a:lnTo>
                                <a:pt x="68152" y="68370"/>
                              </a:lnTo>
                              <a:lnTo>
                                <a:pt x="39748" y="102892"/>
                              </a:lnTo>
                              <a:lnTo>
                                <a:pt x="18294" y="142496"/>
                              </a:lnTo>
                              <a:lnTo>
                                <a:pt x="4730" y="186237"/>
                              </a:lnTo>
                              <a:lnTo>
                                <a:pt x="0" y="233172"/>
                              </a:lnTo>
                              <a:lnTo>
                                <a:pt x="4730" y="280106"/>
                              </a:lnTo>
                              <a:lnTo>
                                <a:pt x="18294" y="323847"/>
                              </a:lnTo>
                              <a:lnTo>
                                <a:pt x="39748" y="363451"/>
                              </a:lnTo>
                              <a:lnTo>
                                <a:pt x="68152" y="397973"/>
                              </a:lnTo>
                              <a:lnTo>
                                <a:pt x="102564" y="426468"/>
                              </a:lnTo>
                              <a:lnTo>
                                <a:pt x="142040" y="447991"/>
                              </a:lnTo>
                              <a:lnTo>
                                <a:pt x="185641" y="461598"/>
                              </a:lnTo>
                              <a:lnTo>
                                <a:pt x="232422" y="466344"/>
                              </a:lnTo>
                              <a:lnTo>
                                <a:pt x="245732" y="465975"/>
                              </a:lnTo>
                              <a:lnTo>
                                <a:pt x="245732" y="414731"/>
                              </a:lnTo>
                              <a:lnTo>
                                <a:pt x="236867" y="415213"/>
                              </a:lnTo>
                              <a:lnTo>
                                <a:pt x="232422" y="415213"/>
                              </a:lnTo>
                              <a:lnTo>
                                <a:pt x="171623" y="404668"/>
                              </a:lnTo>
                              <a:lnTo>
                                <a:pt x="117881" y="374357"/>
                              </a:lnTo>
                              <a:lnTo>
                                <a:pt x="77865" y="328502"/>
                              </a:lnTo>
                              <a:lnTo>
                                <a:pt x="55156" y="272161"/>
                              </a:lnTo>
                              <a:lnTo>
                                <a:pt x="52235" y="258737"/>
                              </a:lnTo>
                              <a:lnTo>
                                <a:pt x="197053" y="258737"/>
                              </a:lnTo>
                              <a:lnTo>
                                <a:pt x="197053" y="207606"/>
                              </a:lnTo>
                              <a:lnTo>
                                <a:pt x="52235" y="207606"/>
                              </a:lnTo>
                              <a:lnTo>
                                <a:pt x="55156" y="194170"/>
                              </a:lnTo>
                              <a:lnTo>
                                <a:pt x="77865" y="137837"/>
                              </a:lnTo>
                              <a:lnTo>
                                <a:pt x="117881" y="91973"/>
                              </a:lnTo>
                              <a:lnTo>
                                <a:pt x="171623" y="61679"/>
                              </a:lnTo>
                              <a:lnTo>
                                <a:pt x="232422" y="51130"/>
                              </a:lnTo>
                              <a:lnTo>
                                <a:pt x="241312" y="51295"/>
                              </a:lnTo>
                              <a:lnTo>
                                <a:pt x="245732" y="51612"/>
                              </a:lnTo>
                              <a:lnTo>
                                <a:pt x="245732" y="368"/>
                              </a:lnTo>
                              <a:lnTo>
                                <a:pt x="2324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1324813</wp:posOffset>
            </wp:positionH>
            <wp:positionV relativeFrom="paragraph">
              <wp:posOffset>222186</wp:posOffset>
            </wp:positionV>
            <wp:extent cx="1094615" cy="466344"/>
            <wp:effectExtent l="0" t="0" r="0" b="0"/>
            <wp:wrapTopAndBottom/>
            <wp:docPr id="28" name="图像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图像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615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2602034</wp:posOffset>
                </wp:positionH>
                <wp:positionV relativeFrom="paragraph">
                  <wp:posOffset>202019</wp:posOffset>
                </wp:positionV>
                <wp:extent cx="584835" cy="510540"/>
                <wp:effectExtent l="0" t="0" r="0" b="0"/>
                <wp:wrapTopAndBottom/>
                <wp:docPr id="29" name="组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组29"/>
                      <wpg:cNvGrpSpPr/>
                      <wpg:grpSpPr>
                        <a:xfrm>
                          <a:off x="0" y="0"/>
                          <a:ext cx="584835" cy="510540"/>
                          <a:chExt cx="584835" cy="510540"/>
                        </a:xfrm>
                      </wpg:grpSpPr>
                      <wps:wsp>
                        <wps:cNvPr id="30" name="图30"/>
                        <wps:cNvSpPr/>
                        <wps:spPr>
                          <a:xfrm>
                            <a:off x="-7" y="0"/>
                            <a:ext cx="58483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" h="510540">
                                <a:moveTo>
                                  <a:pt x="260184" y="128143"/>
                                </a:moveTo>
                                <a:lnTo>
                                  <a:pt x="234975" y="109829"/>
                                </a:lnTo>
                                <a:lnTo>
                                  <a:pt x="204177" y="103225"/>
                                </a:lnTo>
                                <a:lnTo>
                                  <a:pt x="172377" y="108343"/>
                                </a:lnTo>
                                <a:lnTo>
                                  <a:pt x="144132" y="125222"/>
                                </a:lnTo>
                                <a:lnTo>
                                  <a:pt x="124333" y="152857"/>
                                </a:lnTo>
                                <a:lnTo>
                                  <a:pt x="116789" y="187007"/>
                                </a:lnTo>
                                <a:lnTo>
                                  <a:pt x="124206" y="222986"/>
                                </a:lnTo>
                                <a:lnTo>
                                  <a:pt x="149326" y="256120"/>
                                </a:lnTo>
                                <a:lnTo>
                                  <a:pt x="124434" y="288632"/>
                                </a:lnTo>
                                <a:lnTo>
                                  <a:pt x="124777" y="360083"/>
                                </a:lnTo>
                                <a:lnTo>
                                  <a:pt x="175310" y="404596"/>
                                </a:lnTo>
                                <a:lnTo>
                                  <a:pt x="207416" y="408622"/>
                                </a:lnTo>
                                <a:lnTo>
                                  <a:pt x="237490" y="401523"/>
                                </a:lnTo>
                                <a:lnTo>
                                  <a:pt x="259880" y="383527"/>
                                </a:lnTo>
                                <a:lnTo>
                                  <a:pt x="237769" y="359892"/>
                                </a:lnTo>
                                <a:lnTo>
                                  <a:pt x="232778" y="363562"/>
                                </a:lnTo>
                                <a:lnTo>
                                  <a:pt x="217881" y="371754"/>
                                </a:lnTo>
                                <a:lnTo>
                                  <a:pt x="202196" y="374827"/>
                                </a:lnTo>
                                <a:lnTo>
                                  <a:pt x="186601" y="372732"/>
                                </a:lnTo>
                                <a:lnTo>
                                  <a:pt x="171958" y="365467"/>
                                </a:lnTo>
                                <a:lnTo>
                                  <a:pt x="160540" y="354164"/>
                                </a:lnTo>
                                <a:lnTo>
                                  <a:pt x="153301" y="340118"/>
                                </a:lnTo>
                                <a:lnTo>
                                  <a:pt x="150647" y="324535"/>
                                </a:lnTo>
                                <a:lnTo>
                                  <a:pt x="152996" y="308635"/>
                                </a:lnTo>
                                <a:lnTo>
                                  <a:pt x="160324" y="293865"/>
                                </a:lnTo>
                                <a:lnTo>
                                  <a:pt x="171475" y="282727"/>
                                </a:lnTo>
                                <a:lnTo>
                                  <a:pt x="185775" y="275678"/>
                                </a:lnTo>
                                <a:lnTo>
                                  <a:pt x="202577" y="273202"/>
                                </a:lnTo>
                                <a:lnTo>
                                  <a:pt x="230682" y="273202"/>
                                </a:lnTo>
                                <a:lnTo>
                                  <a:pt x="230682" y="238810"/>
                                </a:lnTo>
                                <a:lnTo>
                                  <a:pt x="180174" y="234264"/>
                                </a:lnTo>
                                <a:lnTo>
                                  <a:pt x="153339" y="204571"/>
                                </a:lnTo>
                                <a:lnTo>
                                  <a:pt x="150863" y="183108"/>
                                </a:lnTo>
                                <a:lnTo>
                                  <a:pt x="156984" y="163118"/>
                                </a:lnTo>
                                <a:lnTo>
                                  <a:pt x="170154" y="147802"/>
                                </a:lnTo>
                                <a:lnTo>
                                  <a:pt x="188302" y="138938"/>
                                </a:lnTo>
                                <a:lnTo>
                                  <a:pt x="209321" y="138328"/>
                                </a:lnTo>
                                <a:lnTo>
                                  <a:pt x="216789" y="140436"/>
                                </a:lnTo>
                                <a:lnTo>
                                  <a:pt x="224142" y="143535"/>
                                </a:lnTo>
                                <a:lnTo>
                                  <a:pt x="239191" y="150634"/>
                                </a:lnTo>
                                <a:lnTo>
                                  <a:pt x="260184" y="128143"/>
                                </a:lnTo>
                                <a:close/>
                              </a:path>
                              <a:path w="584835" h="510540">
                                <a:moveTo>
                                  <a:pt x="584593" y="253517"/>
                                </a:moveTo>
                                <a:lnTo>
                                  <a:pt x="570382" y="229844"/>
                                </a:lnTo>
                                <a:lnTo>
                                  <a:pt x="563321" y="217970"/>
                                </a:lnTo>
                                <a:lnTo>
                                  <a:pt x="556361" y="206032"/>
                                </a:lnTo>
                                <a:lnTo>
                                  <a:pt x="544423" y="185191"/>
                                </a:lnTo>
                                <a:lnTo>
                                  <a:pt x="544423" y="253517"/>
                                </a:lnTo>
                                <a:lnTo>
                                  <a:pt x="544271" y="256374"/>
                                </a:lnTo>
                                <a:lnTo>
                                  <a:pt x="544220" y="257302"/>
                                </a:lnTo>
                                <a:lnTo>
                                  <a:pt x="518337" y="302171"/>
                                </a:lnTo>
                                <a:lnTo>
                                  <a:pt x="494080" y="344373"/>
                                </a:lnTo>
                                <a:lnTo>
                                  <a:pt x="420281" y="473532"/>
                                </a:lnTo>
                                <a:lnTo>
                                  <a:pt x="416318" y="476072"/>
                                </a:lnTo>
                                <a:lnTo>
                                  <a:pt x="168275" y="476072"/>
                                </a:lnTo>
                                <a:lnTo>
                                  <a:pt x="164719" y="474256"/>
                                </a:lnTo>
                                <a:lnTo>
                                  <a:pt x="66408" y="302323"/>
                                </a:lnTo>
                                <a:lnTo>
                                  <a:pt x="39979" y="256374"/>
                                </a:lnTo>
                                <a:lnTo>
                                  <a:pt x="40246" y="253517"/>
                                </a:lnTo>
                                <a:lnTo>
                                  <a:pt x="41300" y="251612"/>
                                </a:lnTo>
                                <a:lnTo>
                                  <a:pt x="164642" y="36487"/>
                                </a:lnTo>
                                <a:lnTo>
                                  <a:pt x="167767" y="34429"/>
                                </a:lnTo>
                                <a:lnTo>
                                  <a:pt x="416648" y="34429"/>
                                </a:lnTo>
                                <a:lnTo>
                                  <a:pt x="419925" y="36258"/>
                                </a:lnTo>
                                <a:lnTo>
                                  <a:pt x="446506" y="82854"/>
                                </a:lnTo>
                                <a:lnTo>
                                  <a:pt x="543394" y="251612"/>
                                </a:lnTo>
                                <a:lnTo>
                                  <a:pt x="544423" y="253517"/>
                                </a:lnTo>
                                <a:lnTo>
                                  <a:pt x="544423" y="185191"/>
                                </a:lnTo>
                                <a:lnTo>
                                  <a:pt x="458089" y="34429"/>
                                </a:lnTo>
                                <a:lnTo>
                                  <a:pt x="439572" y="2070"/>
                                </a:lnTo>
                                <a:lnTo>
                                  <a:pt x="439267" y="1003"/>
                                </a:lnTo>
                                <a:lnTo>
                                  <a:pt x="438861" y="0"/>
                                </a:lnTo>
                                <a:lnTo>
                                  <a:pt x="145732" y="0"/>
                                </a:lnTo>
                                <a:lnTo>
                                  <a:pt x="111163" y="61137"/>
                                </a:lnTo>
                                <a:lnTo>
                                  <a:pt x="99580" y="81470"/>
                                </a:lnTo>
                                <a:lnTo>
                                  <a:pt x="3124" y="249834"/>
                                </a:lnTo>
                                <a:lnTo>
                                  <a:pt x="1447" y="251612"/>
                                </a:lnTo>
                                <a:lnTo>
                                  <a:pt x="0" y="253517"/>
                                </a:lnTo>
                                <a:lnTo>
                                  <a:pt x="0" y="256857"/>
                                </a:lnTo>
                                <a:lnTo>
                                  <a:pt x="13601" y="279463"/>
                                </a:lnTo>
                                <a:lnTo>
                                  <a:pt x="20358" y="290791"/>
                                </a:lnTo>
                                <a:lnTo>
                                  <a:pt x="27000" y="302171"/>
                                </a:lnTo>
                                <a:lnTo>
                                  <a:pt x="144475" y="507326"/>
                                </a:lnTo>
                                <a:lnTo>
                                  <a:pt x="145046" y="508889"/>
                                </a:lnTo>
                                <a:lnTo>
                                  <a:pt x="145732" y="510374"/>
                                </a:lnTo>
                                <a:lnTo>
                                  <a:pt x="438861" y="510374"/>
                                </a:lnTo>
                                <a:lnTo>
                                  <a:pt x="458228" y="476072"/>
                                </a:lnTo>
                                <a:lnTo>
                                  <a:pt x="472160" y="451383"/>
                                </a:lnTo>
                                <a:lnTo>
                                  <a:pt x="483323" y="431749"/>
                                </a:lnTo>
                                <a:lnTo>
                                  <a:pt x="557453" y="302323"/>
                                </a:lnTo>
                                <a:lnTo>
                                  <a:pt x="581431" y="260515"/>
                                </a:lnTo>
                                <a:lnTo>
                                  <a:pt x="583133" y="258762"/>
                                </a:lnTo>
                                <a:lnTo>
                                  <a:pt x="584593" y="256857"/>
                                </a:lnTo>
                                <a:lnTo>
                                  <a:pt x="584593" y="253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图像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115" y="238305"/>
                            <a:ext cx="127889" cy="172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5064075</wp:posOffset>
                </wp:positionH>
                <wp:positionV relativeFrom="paragraph">
                  <wp:posOffset>283731</wp:posOffset>
                </wp:positionV>
                <wp:extent cx="2251710" cy="430530"/>
                <wp:effectExtent l="0" t="0" r="0" b="0"/>
                <wp:wrapTopAndBottom/>
                <wp:docPr id="32" name="组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组32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33" name="图33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图像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图35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图像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图像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图形40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540"/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pgSz w:w="12240" w:h="15840"/>
          <w:pgMar w:header="148" w:footer="0" w:top="1460" w:bottom="0" w:left="0" w:right="540"/>
        </w:sectPr>
      </w:pPr>
    </w:p>
    <w:p>
      <w:pPr>
        <w:pStyle w:val="P68B1DB1-Heading29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165"/>
        <w:ind w:left="720" w:right="100"/>
      </w:pPr>
      <w:hyperlink r:id="rId17">
        <w:r>
          <w:rPr>
            <w:b/>
            <w:spacing w:val="-2"/>
          </w:rPr>
          <w:t xml:space="preserve">Temp 1000 Ex</w:t>
        </w:r>
      </w:hyperlink>
      <w:r>
        <w:rPr>
          <w:spacing w:val="-2"/>
        </w:rPr>
        <w:t>具有</w:t>
      </w:r>
      <w:r>
        <w:t>符合最新版本的</w:t>
      </w:r>
      <w:r>
        <w:rPr>
          <w:spacing w:val="-2"/>
        </w:rPr>
        <w:t>危险</w:t>
      </w:r>
      <w:r>
        <w:rPr>
          <w:spacing w:val="-2"/>
        </w:rPr>
        <w:t>场所</w:t>
      </w:r>
      <w:r>
        <w:rPr>
          <w:spacing w:val="-2"/>
        </w:rPr>
        <w:t>本质</w:t>
      </w:r>
      <w:r>
        <w:t xml:space="preserve">安全认证：IEC 60079-0、IEC 60079-11</w:t>
      </w:r>
    </w:p>
    <w:p>
      <w:pPr>
        <w:pStyle w:val="BodyText"/>
        <w:spacing w:before="2"/>
        <w:ind w:left="720"/>
      </w:pPr>
      <w:r>
        <w:rPr>
          <w:spacing w:val="-6"/>
        </w:rPr>
        <w:t>指令2014/34/EU（称为ATEX）</w:t>
      </w:r>
    </w:p>
    <w:p>
      <w:pPr>
        <w:pStyle w:val="P68B1DB1-Heading410"/>
        <w:spacing w:before="191"/>
        <w:rPr>
          <w:rFonts w:ascii="Calibri"/>
        </w:rPr>
      </w:pPr>
      <w:r>
        <w:t>经认证的内部安全</w:t>
      </w:r>
      <w:r>
        <w:rPr>
          <w:spacing w:val="-4"/>
        </w:rPr>
        <w:t>：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9" w:lineRule="auto" w:before="12" w:after="0"/>
        <w:ind w:left="899" w:right="205" w:hanging="180"/>
        <w:jc w:val="left"/>
        <w:rPr>
          <w:sz w:val="22"/>
        </w:rPr>
      </w:pPr>
      <w:r>
        <w:rPr>
          <w:spacing w:val="-2"/>
        </w:rPr>
        <w:t>电气</w:t>
      </w:r>
      <w:r>
        <w:rPr>
          <w:spacing w:val="-2"/>
        </w:rPr>
        <w:t>保护</w:t>
      </w:r>
      <w:r>
        <w:rPr>
          <w:spacing w:val="-2"/>
        </w:rPr>
        <w:t>概念：</w:t>
      </w:r>
      <w:r>
        <w:rPr>
          <w:spacing w:val="-2"/>
        </w:rPr>
        <w:t>IEC：</w:t>
      </w:r>
      <w:r>
        <w:rPr>
          <w:spacing w:val="-2"/>
        </w:rPr>
        <w:t>60079-11</w:t>
      </w:r>
      <w:r>
        <w:rPr>
          <w:spacing w:val="-2"/>
        </w:rPr>
        <w:t>Ex</w:t>
      </w:r>
      <w:r>
        <w:rPr>
          <w:spacing w:val="-2"/>
        </w:rPr>
        <w:t>ia</w:t>
      </w:r>
      <w:r>
        <w:rPr>
          <w:spacing w:val="-2"/>
        </w:rPr>
        <w:t>-</w:t>
      </w:r>
      <w:r>
        <w:rPr>
          <w:spacing w:val="-2"/>
        </w:rPr>
        <w:t>Ex</w:t>
      </w:r>
      <w:r>
        <w:t>ic，本质安全区0-2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" w:after="0"/>
        <w:ind w:left="899" w:right="0" w:hanging="179"/>
        <w:jc w:val="left"/>
        <w:rPr>
          <w:sz w:val="22"/>
        </w:rPr>
      </w:pPr>
      <w:r>
        <w:t>设备防护等级：Ga-Gc，区域0-</w:t>
      </w:r>
      <w:r>
        <w:rPr>
          <w:spacing w:val="-10"/>
        </w:rPr>
        <w:t>2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2"/>
        </w:rPr>
        <w:t>气体类别：</w:t>
      </w:r>
      <w:r>
        <w:rPr>
          <w:spacing w:val="-5"/>
        </w:rPr>
        <w:t>IIC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2"/>
        </w:rPr>
        <w:t>温度等级：</w:t>
      </w:r>
      <w:r>
        <w:rPr>
          <w:spacing w:val="-5"/>
        </w:rPr>
        <w:t>T4</w:t>
      </w:r>
    </w:p>
    <w:p>
      <w:pPr>
        <w:pStyle w:val="P68B1DB1-Heading311"/>
        <w:spacing w:before="156"/>
      </w:pPr>
      <w:r>
        <w:rPr>
          <w:spacing w:val="-7"/>
        </w:rPr>
        <w:t>操作</w:t>
      </w:r>
      <w:r>
        <w:rPr>
          <w:spacing w:val="-2"/>
        </w:rPr>
        <w:t>警告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9" w:lineRule="auto" w:before="107" w:after="0"/>
        <w:ind w:left="899" w:right="0" w:hanging="180"/>
        <w:jc w:val="left"/>
        <w:rPr>
          <w:sz w:val="22"/>
        </w:rPr>
      </w:pPr>
      <w:r>
        <w:rPr>
          <w:spacing w:val="-2"/>
        </w:rPr>
        <w:t>当</w:t>
      </w:r>
      <w:r>
        <w:rPr>
          <w:spacing w:val="-2"/>
        </w:rPr>
        <w:t>在</w:t>
      </w:r>
      <w:r>
        <w:rPr>
          <w:spacing w:val="-2"/>
        </w:rPr>
        <w:t>危险</w:t>
      </w:r>
      <w:r>
        <w:rPr>
          <w:spacing w:val="-2"/>
        </w:rPr>
        <w:t>场所</w:t>
      </w:r>
      <w:r>
        <w:rPr>
          <w:spacing w:val="-2"/>
        </w:rPr>
        <w:t>使用</w:t>
      </w:r>
      <w:r>
        <w:t>时，</w:t>
      </w:r>
      <w:r>
        <w:rPr>
          <w:spacing w:val="-2"/>
        </w:rPr>
        <w:t>Temp1000Ex</w:t>
      </w:r>
      <w:r>
        <w:rPr>
          <w:spacing w:val="-2"/>
        </w:rPr>
        <w:t>应</w:t>
      </w:r>
      <w:r>
        <w:rPr>
          <w:b/>
          <w:i/>
        </w:rPr>
        <w:t>在</w:t>
      </w:r>
      <w:r>
        <w:t>危险场所变得危险之前安装，只有在该区域不再危险之后才能拆除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9" w:lineRule="auto" w:before="92" w:after="0"/>
        <w:ind w:left="899" w:right="377" w:hanging="180"/>
        <w:jc w:val="both"/>
        <w:rPr>
          <w:sz w:val="22"/>
        </w:rPr>
      </w:pPr>
      <w:r>
        <w:t>Temp1000Ex的</w:t>
      </w:r>
      <w:r>
        <w:t>最高</w:t>
      </w:r>
      <w:r>
        <w:t>允许</w:t>
      </w:r>
      <w:r>
        <w:t>环境</w:t>
      </w:r>
      <w:r>
        <w:t>温度</w:t>
      </w:r>
      <w:r>
        <w:rPr>
          <w:spacing w:val="-2"/>
        </w:rPr>
        <w:t>（在</w:t>
      </w:r>
      <w:r>
        <w:rPr>
          <w:spacing w:val="-2"/>
        </w:rPr>
        <w:t>任何</w:t>
      </w:r>
      <w:r>
        <w:rPr>
          <w:spacing w:val="-2"/>
        </w:rPr>
        <w:t>情况下）</w:t>
      </w:r>
      <w:r>
        <w:rPr>
          <w:spacing w:val="-2"/>
        </w:rPr>
        <w:t>为</w:t>
      </w:r>
      <w:r>
        <w:rPr>
          <w:spacing w:val="-2"/>
        </w:rPr>
        <w:t>80</w:t>
      </w:r>
      <w:r>
        <w:rPr>
          <w:spacing w:val="-2"/>
        </w:rPr>
        <w:t>°C。</w:t>
      </w:r>
      <w:r>
        <w:t xml:space="preserve">最低额定工作温度为-40 °C。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9" w:lineRule="auto" w:before="92" w:after="0"/>
        <w:ind w:left="899" w:right="132" w:hanging="180"/>
        <w:jc w:val="left"/>
        <w:rPr>
          <w:sz w:val="22"/>
        </w:rPr>
      </w:pPr>
      <w:r>
        <w:t xml:space="preserve">Temp 1000 Ex仅可与</w:t>
      </w:r>
      <w:r>
        <w:rPr>
          <w:spacing w:val="-2"/>
        </w:rPr>
        <w:t>Tadiran</w:t>
      </w:r>
      <w:r>
        <w:rPr>
          <w:spacing w:val="-2"/>
        </w:rPr>
        <w:t>TL-2150/S</w:t>
      </w:r>
      <w:r>
        <w:rPr>
          <w:spacing w:val="-2"/>
        </w:rPr>
        <w:t>电池配合使用。</w:t>
      </w:r>
      <w:r>
        <w:rPr>
          <w:spacing w:val="-2"/>
        </w:rPr>
        <w:t>更换</w:t>
      </w:r>
      <w:r>
        <w:rPr>
          <w:spacing w:val="-2"/>
        </w:rPr>
        <w:t>任何</w:t>
      </w:r>
      <w:r>
        <w:rPr>
          <w:spacing w:val="-2"/>
        </w:rPr>
        <w:t>其他</w:t>
      </w:r>
      <w:r>
        <w:t>电池将使安全等级无效。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9" w:lineRule="auto" w:before="93" w:after="0"/>
        <w:ind w:left="899" w:right="74" w:hanging="180"/>
        <w:jc w:val="left"/>
        <w:rPr>
          <w:sz w:val="22"/>
        </w:rPr>
      </w:pPr>
      <w:r>
        <w:rPr>
          <w:spacing w:val="-2"/>
        </w:rPr>
        <w:t>电池</w:t>
      </w:r>
      <w:r>
        <w:rPr>
          <w:spacing w:val="-2"/>
        </w:rPr>
        <w:t>可由</w:t>
      </w:r>
      <w:r>
        <w:rPr>
          <w:spacing w:val="-2"/>
        </w:rPr>
        <w:t>用户</w:t>
      </w:r>
      <w:r>
        <w:rPr>
          <w:spacing w:val="-2"/>
        </w:rPr>
        <w:t>更换，</w:t>
      </w:r>
      <w:r>
        <w:rPr>
          <w:spacing w:val="-2"/>
        </w:rPr>
        <w:t>但</w:t>
      </w:r>
      <w:r>
        <w:t>只能在已知无危险的位置</w:t>
      </w:r>
      <w:r>
        <w:rPr>
          <w:spacing w:val="-2"/>
        </w:rPr>
        <w:t>拆卸</w:t>
      </w:r>
      <w:r>
        <w:rPr>
          <w:spacing w:val="-2"/>
        </w:rPr>
        <w:t>或</w:t>
      </w:r>
      <w:r>
        <w:t>更换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9" w:lineRule="auto" w:before="91" w:after="0"/>
        <w:ind w:left="899" w:right="154" w:hanging="180"/>
        <w:jc w:val="left"/>
        <w:rPr>
          <w:sz w:val="22"/>
        </w:rPr>
      </w:pPr>
      <w:r>
        <w:t>篡改或更换非出厂部件可能会对产品的安全使用产生不利影响，因此禁止使用。</w:t>
      </w:r>
      <w:r>
        <w:rPr>
          <w:spacing w:val="-3"/>
        </w:rPr>
        <w:t xml:space="preserve"> </w:t>
      </w:r>
      <w:r>
        <w:t>除</w:t>
      </w:r>
      <w:r>
        <w:t>更换</w:t>
      </w:r>
      <w:r>
        <w:t>电池外，</w:t>
      </w:r>
      <w:r>
        <w:rPr>
          <w:spacing w:val="-2"/>
        </w:rPr>
        <w:t>用户</w:t>
      </w:r>
      <w:r>
        <w:rPr>
          <w:spacing w:val="-2"/>
        </w:rPr>
        <w:t>不得</w:t>
      </w:r>
      <w:r>
        <w:rPr>
          <w:spacing w:val="-2"/>
        </w:rPr>
        <w:t>维修</w:t>
      </w:r>
      <w:r>
        <w:rPr>
          <w:spacing w:val="-2"/>
        </w:rPr>
        <w:t>Temp1000Ex。</w:t>
      </w:r>
      <w:r>
        <w:rPr>
          <w:spacing w:val="-10"/>
        </w:rPr>
        <w:t>MadgeTech</w:t>
      </w:r>
      <w:r>
        <w:rPr>
          <w:spacing w:val="-2"/>
        </w:rPr>
        <w:t>公司或</w:t>
      </w:r>
      <w:r>
        <w:rPr>
          <w:spacing w:val="-2"/>
        </w:rPr>
        <w:t>授权</w:t>
      </w:r>
      <w:r>
        <w:rPr>
          <w:spacing w:val="-2"/>
        </w:rPr>
        <w:t>代表</w:t>
      </w:r>
      <w:r>
        <w:rPr>
          <w:spacing w:val="-2"/>
        </w:rPr>
        <w:t>必须</w:t>
      </w:r>
      <w:r>
        <w:rPr>
          <w:spacing w:val="-2"/>
        </w:rPr>
        <w:t>执行</w:t>
      </w:r>
      <w:r>
        <w:rPr>
          <w:spacing w:val="-5"/>
        </w:rPr>
        <w:t>产品的</w:t>
      </w:r>
      <w:r>
        <w:rPr>
          <w:spacing w:val="-2"/>
        </w:rPr>
        <w:t>所有</w:t>
      </w:r>
      <w:r>
        <w:rPr>
          <w:spacing w:val="-2"/>
        </w:rPr>
        <w:t>其他</w:t>
      </w:r>
      <w:r>
        <w:t>服务。</w:t>
      </w:r>
    </w:p>
    <w:p>
      <w:pPr>
        <w:pStyle w:val="P68B1DB1-Heading311"/>
        <w:spacing w:before="148"/>
      </w:pPr>
      <w:r>
        <w:rPr>
          <w:spacing w:val="-7"/>
        </w:rPr>
        <w:t>订购</w:t>
      </w:r>
      <w:r>
        <w:rPr>
          <w:spacing w:val="-2"/>
        </w:rPr>
        <w:t>信息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07" w:after="0"/>
        <w:ind w:left="899" w:right="0" w:hanging="179"/>
        <w:jc w:val="left"/>
        <w:rPr>
          <w:sz w:val="22"/>
        </w:rPr>
      </w:pPr>
      <w:r>
        <w:rPr>
          <w:spacing w:val="-6"/>
        </w:rPr>
        <w:t>902153-00</w:t>
      </w:r>
      <w:r>
        <w:rPr>
          <w:spacing w:val="-6"/>
        </w:rPr>
        <w:t>-</w:t>
      </w:r>
      <w:r>
        <w:rPr>
          <w:spacing w:val="-6"/>
        </w:rPr>
        <w:t xml:space="preserve">Temp 1000 Ex-2</w:t>
      </w:r>
      <w:r>
        <w:rPr>
          <w:spacing w:val="-6"/>
        </w:rPr>
        <w:t>（2</w:t>
      </w:r>
      <w:r>
        <w:rPr>
          <w:spacing w:val="-6"/>
        </w:rPr>
        <w:t>英寸</w:t>
      </w:r>
      <w:r>
        <w:rPr>
          <w:spacing w:val="-6"/>
        </w:rPr>
        <w:t>探头）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6"/>
        </w:rPr>
        <w:t>902155-00</w:t>
      </w:r>
      <w:r>
        <w:rPr>
          <w:spacing w:val="-6"/>
        </w:rPr>
        <w:t>-</w:t>
      </w:r>
      <w:r>
        <w:rPr>
          <w:spacing w:val="-6"/>
        </w:rPr>
        <w:t xml:space="preserve">Temp 1000 Ex-1</w:t>
      </w:r>
      <w:r>
        <w:rPr>
          <w:spacing w:val="-6"/>
        </w:rPr>
        <w:t>（1</w:t>
      </w:r>
      <w:r>
        <w:rPr>
          <w:spacing w:val="-6"/>
        </w:rPr>
        <w:t>英寸</w:t>
      </w:r>
      <w:r>
        <w:rPr>
          <w:spacing w:val="-6"/>
        </w:rPr>
        <w:t>探头）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6"/>
        </w:rPr>
        <w:t>902156-00</w:t>
      </w:r>
      <w:r>
        <w:rPr>
          <w:spacing w:val="-6"/>
        </w:rPr>
        <w:t>-</w:t>
      </w:r>
      <w:r>
        <w:rPr>
          <w:spacing w:val="-6"/>
        </w:rPr>
        <w:t xml:space="preserve">Temp 1000 Ex-5.25</w:t>
      </w:r>
      <w:r>
        <w:rPr>
          <w:spacing w:val="-6"/>
        </w:rPr>
        <w:t>（5.25</w:t>
      </w:r>
      <w:r>
        <w:rPr>
          <w:spacing w:val="-6"/>
        </w:rPr>
        <w:t>英寸</w:t>
      </w:r>
      <w:r>
        <w:rPr>
          <w:spacing w:val="-6"/>
        </w:rPr>
        <w:t>探头）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6"/>
        </w:rPr>
        <w:t>902157-00</w:t>
      </w:r>
      <w:r>
        <w:rPr>
          <w:spacing w:val="-6"/>
        </w:rPr>
        <w:t>-</w:t>
      </w:r>
      <w:r>
        <w:rPr>
          <w:spacing w:val="-6"/>
        </w:rPr>
        <w:t xml:space="preserve">Temp 1000 Ex-7</w:t>
      </w:r>
      <w:r>
        <w:rPr>
          <w:spacing w:val="-6"/>
        </w:rPr>
        <w:t>（7</w:t>
      </w:r>
      <w:r>
        <w:rPr>
          <w:spacing w:val="-6"/>
        </w:rPr>
        <w:t>英寸</w:t>
      </w:r>
      <w:r>
        <w:rPr>
          <w:spacing w:val="-6"/>
        </w:rPr>
        <w:t>探头）</w:t>
      </w:r>
    </w:p>
    <w:p>
      <w:pPr>
        <w:pStyle w:val="P68B1DB1-Heading410"/>
        <w:spacing w:before="11"/>
        <w:rPr>
          <w:rFonts w:ascii="Calibri"/>
        </w:rPr>
      </w:pPr>
      <w:r>
        <w:t>键环端</w:t>
      </w:r>
      <w:r>
        <w:rPr>
          <w:spacing w:val="-5"/>
        </w:rPr>
        <w:t>盖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902209-00-Temp 1000 Ex-1-KR（1英寸探头）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902210-00-Temp 1000 Ex-2-KR（2英寸探头）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6"/>
        </w:rPr>
        <w:t xml:space="preserve">902211-00-Temp 1000 Ex-5.25-KR（5.25英寸探头）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902212-00-Temp 1000 Ex-7-KR（7英寸探头）</w:t>
      </w:r>
    </w:p>
    <w:p>
      <w:pPr>
        <w:pStyle w:val="P68B1DB1-Heading412"/>
        <w:spacing w:before="12"/>
        <w:rPr>
          <w:rFonts w:ascii="Calibri"/>
        </w:rPr>
      </w:pPr>
      <w:r>
        <w:t>配件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w w:val="90"/>
        </w:rPr>
        <w:t>900319-00-</w:t>
      </w:r>
      <w:r>
        <w:rPr>
          <w:spacing w:val="-2"/>
          <w:w w:val="90"/>
        </w:rPr>
        <w:t xml:space="preserve">IFC 400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w w:val="90"/>
        </w:rPr>
        <w:t>900325-00-</w:t>
      </w:r>
      <w:r>
        <w:rPr>
          <w:spacing w:val="-2"/>
          <w:w w:val="90"/>
        </w:rPr>
        <w:t xml:space="preserve">IFC 406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901745-00-Battery Tadiran TL-2150/S</w:t>
      </w:r>
    </w:p>
    <w:p>
      <w:pPr>
        <w:pStyle w:val="Heading2"/>
        <w:ind w:left="410"/>
      </w:pPr>
      <w:r>
        <w:br w:type="column"/>
      </w:r>
      <w:r>
        <w:rPr>
          <w:color w:val="A83F52"/>
          <w:w w:val="105"/>
        </w:rPr>
        <w:t>安装</w:t>
      </w:r>
      <w:r>
        <w:rPr>
          <w:color w:val="A83F52"/>
          <w:spacing w:val="-2"/>
          <w:w w:val="105"/>
        </w:rPr>
        <w:t>指南</w:t>
      </w:r>
    </w:p>
    <w:p>
      <w:pPr>
        <w:pStyle w:val="P68B1DB1-Heading413"/>
        <w:ind w:left="410"/>
      </w:pPr>
      <w:r>
        <w:rPr>
          <w:spacing w:val="-4"/>
        </w:rPr>
        <w:t>安装软件</w:t>
      </w:r>
    </w:p>
    <w:p>
      <w:pPr>
        <w:pStyle w:val="BodyText"/>
        <w:spacing w:line="249" w:lineRule="auto" w:before="111"/>
        <w:ind w:left="410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</w:t>
      </w:r>
      <w:hyperlink r:id="rId5">
        <w:r>
          <w:rPr>
            <w:b/>
            <w:color w:val="A83F52"/>
          </w:rPr>
          <w:t>madgetech.com</w:t>
        </w:r>
      </w:hyperlink>
      <w:r>
        <w:rPr>
          <w:spacing w:val="-2"/>
        </w:rPr>
        <w:t>下载</w:t>
      </w:r>
      <w:r>
        <w:t>。</w:t>
      </w:r>
      <w:r>
        <w:t>按照安装向导中提供的说明进行操作。</w:t>
      </w:r>
    </w:p>
    <w:p>
      <w:pPr>
        <w:pStyle w:val="P68B1DB1-Heading413"/>
        <w:spacing w:before="185"/>
        <w:ind w:left="410"/>
      </w:pPr>
      <w:r>
        <w:rPr>
          <w:spacing w:val="-6"/>
        </w:rPr>
        <w:t>安装USB接口驱动程序</w:t>
      </w:r>
    </w:p>
    <w:p>
      <w:pPr>
        <w:pStyle w:val="BodyText"/>
        <w:spacing w:line="249" w:lineRule="auto" w:before="112"/>
        <w:ind w:left="410" w:right="167"/>
      </w:pPr>
      <w:r>
        <w:rPr>
          <w:color w:val="A83F52"/>
        </w:rPr>
        <w:t xml:space="preserve">IFC 400或IFC 406</w:t>
      </w:r>
      <w:r>
        <w:t>-按照安装向导中提供的说明</w:t>
      </w:r>
      <w:r>
        <w:rPr>
          <w:spacing w:val="-2"/>
        </w:rPr>
        <w:t>安装</w:t>
      </w:r>
      <w:r>
        <w:rPr>
          <w:spacing w:val="-2"/>
        </w:rPr>
        <w:t>USB</w:t>
      </w:r>
      <w:r>
        <w:rPr>
          <w:spacing w:val="-2"/>
        </w:rPr>
        <w:t>接口</w:t>
      </w:r>
      <w:r>
        <w:rPr>
          <w:spacing w:val="-2"/>
        </w:rPr>
        <w:t>驱动程序。</w:t>
      </w:r>
      <w:r>
        <w:t>驱动程序也可以从MadgeTech网站</w:t>
      </w:r>
      <w:hyperlink r:id="rId5">
        <w:r>
          <w:rPr>
            <w:b/>
            <w:color w:val="A83F52"/>
          </w:rPr>
          <w:t>madgetech.com</w:t>
        </w:r>
      </w:hyperlink>
      <w:r>
        <w:t>下载。</w:t>
      </w:r>
    </w:p>
    <w:p>
      <w:pPr>
        <w:pStyle w:val="P68B1DB1-Heading29"/>
        <w:spacing w:before="267"/>
        <w:ind w:left="410"/>
      </w:pPr>
      <w:r>
        <w:t>设备</w:t>
      </w:r>
      <w:r>
        <w:rPr>
          <w:spacing w:val="-2"/>
        </w:rPr>
        <w:t>操作</w:t>
      </w:r>
    </w:p>
    <w:p>
      <w:pPr>
        <w:pStyle w:val="P68B1DB1-Heading413"/>
        <w:spacing w:before="168"/>
        <w:ind w:left="410"/>
      </w:pPr>
      <w:r>
        <w:rPr>
          <w:spacing w:val="-4"/>
        </w:rPr>
        <w:t>连接并启动数据记录器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112" w:after="0"/>
        <w:ind w:left="698" w:right="522" w:hanging="288"/>
        <w:jc w:val="left"/>
        <w:rPr>
          <w:sz w:val="22"/>
        </w:rPr>
      </w:pPr>
      <w:r>
        <w:t>安装</w:t>
      </w:r>
      <w:r>
        <w:t>并</w:t>
      </w:r>
      <w:r>
        <w:t>运行软件后，</w:t>
      </w:r>
      <w:r>
        <w:t>将</w:t>
      </w:r>
      <w:r>
        <w:t xml:space="preserve">接口电缆插入扩展坞（IFC 400或</w:t>
      </w:r>
      <w:r>
        <w:rPr>
          <w:spacing w:val="-2"/>
        </w:rPr>
        <w:t xml:space="preserve">IFC 406）。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92" w:after="0"/>
        <w:ind w:left="698" w:right="610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91" w:after="0"/>
        <w:ind w:left="698" w:right="354" w:hanging="288"/>
        <w:jc w:val="left"/>
        <w:rPr>
          <w:sz w:val="22"/>
        </w:rPr>
      </w:pPr>
      <w:r>
        <w:t xml:space="preserve">将数据记录仪放入扩展坞（IFC 400或IFC 406）。</w:t>
      </w:r>
    </w:p>
    <w:p>
      <w:pPr>
        <w:pStyle w:val="ListParagraph"/>
        <w:numPr>
          <w:ilvl w:val="0"/>
          <w:numId w:val="2"/>
        </w:numPr>
        <w:tabs>
          <w:tab w:pos="697" w:val="left" w:leader="none"/>
        </w:tabs>
        <w:spacing w:line="240" w:lineRule="auto" w:before="92" w:after="0"/>
        <w:ind w:left="697" w:right="0" w:hanging="287"/>
        <w:jc w:val="left"/>
        <w:rPr>
          <w:sz w:val="22"/>
        </w:rPr>
      </w:pPr>
      <w:r>
        <w:t>数据记录器将自动出现</w:t>
      </w:r>
      <w:r>
        <w:rPr>
          <w:spacing w:val="-2"/>
        </w:rPr>
        <w:t>在</w:t>
      </w:r>
    </w:p>
    <w:p>
      <w:pPr>
        <w:spacing w:before="11"/>
        <w:ind w:left="698" w:right="0" w:firstLine="0"/>
        <w:jc w:val="left"/>
        <w:rPr>
          <w:sz w:val="22"/>
        </w:rPr>
      </w:pPr>
      <w:r>
        <w:rPr>
          <w:b/>
        </w:rPr>
        <w:t>软件中的连接</w:t>
      </w:r>
      <w:r>
        <w:rPr>
          <w:b/>
        </w:rPr>
        <w:t>设备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102" w:after="0"/>
        <w:ind w:left="698" w:right="51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1"/>
        <w:ind w:left="698" w:right="167" w:firstLine="0"/>
        <w:jc w:val="left"/>
        <w:rPr>
          <w:i/>
          <w:sz w:val="22"/>
        </w:rPr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ListParagraph"/>
        <w:numPr>
          <w:ilvl w:val="0"/>
          <w:numId w:val="2"/>
        </w:numPr>
        <w:tabs>
          <w:tab w:pos="697" w:val="left" w:leader="none"/>
        </w:tabs>
        <w:spacing w:line="240" w:lineRule="auto" w:before="95" w:after="0"/>
        <w:ind w:left="697" w:right="0" w:hanging="287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rPr>
          <w:spacing w:val="-5"/>
        </w:rPr>
        <w:t>或</w:t>
      </w:r>
    </w:p>
    <w:p>
      <w:pPr>
        <w:spacing w:before="12"/>
        <w:ind w:left="698" w:right="0" w:firstLine="0"/>
        <w:jc w:val="left"/>
        <w:rPr>
          <w:sz w:val="22"/>
        </w:rPr>
      </w:pPr>
      <w:r>
        <w:rPr>
          <w:b/>
        </w:rPr>
        <w:t>等待</w:t>
      </w:r>
      <w:r>
        <w:rPr>
          <w:b/>
        </w:rPr>
        <w:t>启动</w:t>
      </w:r>
      <w:r>
        <w:t>，</w:t>
      </w:r>
      <w:r>
        <w:rPr>
          <w:spacing w:val="-4"/>
        </w:rPr>
        <w:t>这</w:t>
      </w:r>
      <w:r>
        <w:t>取决</w:t>
      </w:r>
      <w:r>
        <w:t>于</w:t>
      </w:r>
      <w:r>
        <w:t>您</w:t>
      </w:r>
      <w:r>
        <w:rPr>
          <w:spacing w:val="-4"/>
        </w:rPr>
        <w:t>的</w:t>
      </w:r>
      <w:r>
        <w:t>启动</w:t>
      </w:r>
      <w:r>
        <w:rPr>
          <w:spacing w:val="-2"/>
        </w:rPr>
        <w:t>方法。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101" w:after="0"/>
        <w:ind w:left="698" w:right="543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line="261" w:lineRule="auto" w:before="88"/>
        <w:ind w:left="410" w:right="381" w:firstLine="0"/>
        <w:jc w:val="left"/>
        <w:rPr>
          <w:i/>
          <w:sz w:val="18"/>
        </w:rPr>
        <w:pStyle w:val="P68B1DB1-Normal14"/>
      </w:pPr>
      <w:r>
        <w:rPr>
          <w:b/>
        </w:rPr>
        <w:t>注：</w:t>
      </w:r>
      <w:r>
        <w:t>除非</w:t>
      </w:r>
      <w:r>
        <w:rPr>
          <w:spacing w:val="-10"/>
        </w:rPr>
        <w:t>启用了</w:t>
      </w:r>
      <w:r>
        <w:t>用户</w:t>
      </w:r>
      <w:r>
        <w:t>可选</w:t>
      </w:r>
      <w:r>
        <w:rPr>
          <w:spacing w:val="-10"/>
        </w:rPr>
        <w:t>的</w:t>
      </w:r>
      <w:r>
        <w:t>内存</w:t>
      </w:r>
      <w:r>
        <w:t>回绕</w:t>
      </w:r>
      <w:r>
        <w:rPr>
          <w:spacing w:val="-2"/>
        </w:rPr>
        <w:t>，否则当达到内存结尾或设备停止时，设备将停止记录数据。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rPr>
          <w:spacing w:val="-2"/>
        </w:rPr>
        <w:t>重新启动</w:t>
      </w:r>
      <w:r>
        <w:rPr>
          <w:spacing w:val="-2"/>
        </w:rPr>
        <w:t>，</w:t>
      </w:r>
      <w:r>
        <w:rPr>
          <w:spacing w:val="-2"/>
        </w:rPr>
        <w:t>直到</w:t>
      </w:r>
      <w:r>
        <w:t>计算机重新装备</w:t>
      </w:r>
      <w:r>
        <w:rPr>
          <w:spacing w:val="-2"/>
        </w:rPr>
        <w:t>它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38"/>
        <w:rPr>
          <w:i/>
          <w:sz w:val="18"/>
        </w:rPr>
      </w:pPr>
    </w:p>
    <w:p>
      <w:pPr>
        <w:spacing w:before="0"/>
        <w:ind w:left="0" w:right="177" w:firstLine="0"/>
        <w:jc w:val="right"/>
        <w:rPr>
          <w:sz w:val="18"/>
        </w:rPr>
        <w:pStyle w:val="P68B1DB1-Normal15"/>
      </w:pPr>
      <w:r>
        <w:t>产品</w:t>
      </w:r>
      <w:r>
        <w:t>用户</w:t>
      </w:r>
      <w:r>
        <w:t>指南</w:t>
      </w:r>
      <w:r>
        <w:rPr>
          <w:w w:val="90"/>
        </w:rPr>
        <w:t>|</w:t>
      </w:r>
      <w:r>
        <w:rPr>
          <w:spacing w:val="-10"/>
        </w:rPr>
        <w:t>2</w:t>
      </w:r>
    </w:p>
    <w:p>
      <w:pPr>
        <w:spacing w:after="0"/>
        <w:jc w:val="right"/>
        <w:rPr>
          <w:sz w:val="18"/>
        </w:rPr>
        <w:sectPr>
          <w:type w:val="continuous"/>
          <w:pgSz w:w="12240" w:h="15840"/>
          <w:pgMar w:header="148" w:footer="0" w:top="1220" w:bottom="280" w:left="0" w:right="540"/>
          <w:cols w:num="2" w:equalWidth="0">
            <w:col w:w="5895" w:space="40"/>
            <w:col w:w="5765"/>
          </w:cols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0" w:top="1460" w:bottom="280" w:left="0" w:right="540"/>
        </w:sectPr>
      </w:pPr>
    </w:p>
    <w:p>
      <w:pPr>
        <w:pStyle w:val="P68B1DB1-Heading216"/>
      </w:pPr>
      <w:bookmarkStart w:name="_bookmark1" w:id="2"/>
      <w:bookmarkEnd w:id="2"/>
      <w:r>
        <w:t>器械操作</w:t>
      </w:r>
      <w:r>
        <w:rPr>
          <w:spacing w:val="-2"/>
        </w:rPr>
        <w:t>（已禁用）</w:t>
      </w:r>
    </w:p>
    <w:p>
      <w:pPr>
        <w:pStyle w:val="P68B1DB1-Heading413"/>
      </w:pPr>
      <w:r>
        <w:rPr>
          <w:spacing w:val="-4"/>
        </w:rPr>
        <w:t>从数据记录器下载数据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9" w:lineRule="auto" w:before="111" w:after="0"/>
        <w:ind w:left="1007" w:right="375" w:hanging="288"/>
        <w:jc w:val="left"/>
        <w:rPr>
          <w:sz w:val="22"/>
        </w:rPr>
      </w:pPr>
      <w:r>
        <w:t>将</w:t>
      </w:r>
      <w:r>
        <w:t>记录器</w:t>
      </w:r>
      <w:r>
        <w:t>放入</w:t>
      </w:r>
      <w:r>
        <w:t>扩展</w:t>
      </w:r>
      <w:r>
        <w:t>坞</w:t>
      </w:r>
      <w:r>
        <w:t xml:space="preserve">（IFC 400</w:t>
      </w:r>
      <w:r>
        <w:t>或</w:t>
      </w:r>
      <w:r>
        <w:rPr>
          <w:spacing w:val="-2"/>
        </w:rPr>
        <w:t xml:space="preserve">IFC 406）。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b/>
          <w:sz w:val="22"/>
        </w:rPr>
      </w:pPr>
      <w:r>
        <w:rPr>
          <w:spacing w:val="-2"/>
        </w:rPr>
        <w:t>突出显示</w:t>
      </w:r>
      <w:r>
        <w:rPr>
          <w:rFonts w:ascii="Trebuchet MS"/>
          <w:b/>
          <w:spacing w:val="-2"/>
        </w:rPr>
        <w:t>连接</w:t>
      </w:r>
      <w:r>
        <w:rPr>
          <w:rFonts w:ascii="Trebuchet MS"/>
          <w:b/>
          <w:spacing w:val="-2"/>
        </w:rPr>
        <w:t>设备</w:t>
      </w:r>
      <w:r>
        <w:rPr>
          <w:spacing w:val="-2"/>
        </w:rPr>
        <w:t>中的数据记录器</w:t>
      </w:r>
    </w:p>
    <w:p>
      <w:pPr>
        <w:pStyle w:val="BodyText"/>
        <w:spacing w:before="11"/>
        <w:ind w:left="1007"/>
      </w:pPr>
      <w:r>
        <w:t>名单</w:t>
      </w:r>
      <w:r>
        <w:rPr>
          <w:spacing w:val="-3"/>
        </w:rPr>
        <w:t xml:space="preserve"> </w:t>
      </w:r>
      <w:r>
        <w:t>单击</w:t>
      </w:r>
      <w:r>
        <w:t>菜单</w:t>
      </w:r>
      <w:r>
        <w:rPr>
          <w:spacing w:val="-4"/>
        </w:rPr>
        <w:t>栏上的“停止”。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9" w:lineRule="auto" w:before="102" w:after="0"/>
        <w:ind w:left="1007" w:right="647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9" w:lineRule="auto" w:before="91" w:after="0"/>
        <w:ind w:left="1007" w:right="389" w:hanging="288"/>
        <w:jc w:val="left"/>
        <w:rPr>
          <w:sz w:val="22"/>
        </w:rPr>
      </w:pPr>
      <w:r>
        <w:t>下载将卸载并保存所有记录的</w:t>
      </w:r>
    </w:p>
    <w:p>
      <w:pPr>
        <w:pStyle w:val="P68B1DB1-Heading29"/>
        <w:spacing w:before="266"/>
      </w:pPr>
      <w:r>
        <w:t>设备</w:t>
      </w:r>
      <w:r>
        <w:rPr>
          <w:spacing w:val="-2"/>
        </w:rPr>
        <w:t>维护</w:t>
      </w:r>
    </w:p>
    <w:p>
      <w:pPr>
        <w:pStyle w:val="P68B1DB1-Heading413"/>
      </w:pPr>
      <w:r>
        <w:rPr>
          <w:spacing w:val="-6"/>
        </w:rPr>
        <w:t>电池</w:t>
      </w:r>
      <w:r>
        <w:rPr>
          <w:spacing w:val="-2"/>
        </w:rPr>
        <w:t>更换</w:t>
      </w:r>
    </w:p>
    <w:p>
      <w:pPr>
        <w:spacing w:before="111"/>
        <w:ind w:left="720" w:right="0" w:firstLine="0"/>
        <w:jc w:val="left"/>
        <w:rPr>
          <w:sz w:val="22"/>
        </w:rPr>
        <w:pStyle w:val="P68B1DB1-Normal17"/>
      </w:pPr>
      <w:r>
        <w:rPr>
          <w:b/>
          <w:spacing w:val="-2"/>
        </w:rPr>
        <w:t>材料：</w:t>
      </w:r>
      <w:r>
        <w:rPr>
          <w:spacing w:val="-2"/>
        </w:rPr>
        <w:t xml:space="preserve">替换电池（Tadiran TL-2150/S）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9" w:lineRule="auto" w:before="102" w:after="0"/>
        <w:ind w:left="989" w:right="633" w:hanging="270"/>
        <w:jc w:val="left"/>
        <w:rPr>
          <w:sz w:val="22"/>
        </w:rPr>
      </w:pPr>
      <w:r>
        <w:t>更换电池</w:t>
      </w:r>
      <w:r>
        <w:rPr>
          <w:spacing w:val="-2"/>
        </w:rPr>
        <w:t>前</w:t>
      </w:r>
      <w:r>
        <w:rPr>
          <w:spacing w:val="-2"/>
        </w:rPr>
        <w:t>，</w:t>
      </w:r>
      <w:r>
        <w:rPr>
          <w:spacing w:val="-2"/>
        </w:rPr>
        <w:t>将</w:t>
      </w:r>
      <w:r>
        <w:rPr>
          <w:spacing w:val="-2"/>
        </w:rPr>
        <w:t>设备</w:t>
      </w:r>
      <w:r>
        <w:rPr>
          <w:spacing w:val="-2"/>
        </w:rPr>
        <w:t>移至</w:t>
      </w:r>
      <w:r>
        <w:rPr>
          <w:spacing w:val="-2"/>
        </w:rPr>
        <w:t>非危险</w:t>
      </w:r>
      <w:r>
        <w:rPr>
          <w:spacing w:val="-2"/>
        </w:rPr>
        <w:t>位置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9" w:lineRule="auto" w:before="91" w:after="0"/>
        <w:ind w:left="989" w:right="376" w:hanging="270"/>
        <w:jc w:val="left"/>
        <w:rPr>
          <w:sz w:val="22"/>
        </w:rPr>
      </w:pPr>
      <w:r>
        <w:rPr>
          <w:spacing w:val="-2"/>
        </w:rPr>
        <w:t>拆卸</w:t>
      </w:r>
      <w:r>
        <w:rPr>
          <w:spacing w:val="-2"/>
        </w:rPr>
        <w:t>和</w:t>
      </w:r>
      <w:r>
        <w:t>更换蓄电池</w:t>
      </w:r>
      <w:r>
        <w:rPr>
          <w:spacing w:val="-2"/>
        </w:rPr>
        <w:t>时，</w:t>
      </w:r>
      <w:r>
        <w:rPr>
          <w:spacing w:val="-2"/>
        </w:rPr>
        <w:t>请遵守</w:t>
      </w:r>
      <w:r>
        <w:rPr>
          <w:spacing w:val="-2"/>
        </w:rPr>
        <w:t>操作</w:t>
      </w:r>
      <w:r>
        <w:rPr>
          <w:spacing w:val="-2"/>
        </w:rPr>
        <w:t>规程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9" w:lineRule="auto" w:before="92" w:after="0"/>
        <w:ind w:left="1007" w:right="9" w:hanging="288"/>
        <w:jc w:val="left"/>
        <w:rPr>
          <w:sz w:val="22"/>
        </w:rPr>
      </w:pPr>
      <w:r>
        <w:t>拧下</w:t>
      </w:r>
      <w:r>
        <w:t>数据</w:t>
      </w:r>
      <w:r>
        <w:t>记录仪</w:t>
      </w:r>
      <w:r>
        <w:rPr>
          <w:spacing w:val="-13"/>
        </w:rPr>
        <w:t>底部的螺丝</w:t>
      </w:r>
      <w:r>
        <w:t>并</w:t>
      </w:r>
      <w:r>
        <w:t>取出</w:t>
      </w:r>
      <w:r>
        <w:rPr>
          <w:spacing w:val="-2"/>
        </w:rPr>
        <w:t>电池。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9" w:lineRule="auto" w:before="91" w:after="0"/>
        <w:ind w:left="1007" w:right="0" w:hanging="288"/>
        <w:jc w:val="left"/>
        <w:rPr>
          <w:i/>
          <w:sz w:val="22"/>
        </w:rPr>
      </w:pPr>
      <w:r>
        <w:rPr>
          <w:spacing w:val="-2"/>
        </w:rPr>
        <w:t>将新电池放入记录器中</w:t>
      </w:r>
      <w:r>
        <w:rPr>
          <w:spacing w:val="-5"/>
        </w:rPr>
        <w:t>注意</w:t>
      </w:r>
      <w:r>
        <w:rPr>
          <w:b/>
          <w:i/>
          <w:spacing w:val="-2"/>
        </w:rPr>
        <w:t>：</w:t>
      </w:r>
      <w:r>
        <w:rPr>
          <w:i/>
        </w:rPr>
        <w:t>安装时请注意电池极性是否正确。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sz w:val="22"/>
        </w:rPr>
      </w:pPr>
      <w:r>
        <w:rPr>
          <w:spacing w:val="-2"/>
        </w:rPr>
        <w:t>将盖子拧到数据记录器上。</w:t>
      </w:r>
    </w:p>
    <w:p>
      <w:pPr>
        <w:pStyle w:val="Heading3"/>
        <w:spacing w:before="160"/>
        <w:ind w:left="424"/>
      </w:pPr>
      <w:r>
        <w:rPr>
          <w:b w:val="0"/>
        </w:rPr>
        <w:br w:type="column"/>
      </w:r>
      <w:r>
        <w:rPr>
          <w:color w:val="A83F52"/>
          <w:spacing w:val="-7"/>
        </w:rPr>
        <w:t>O形</w:t>
      </w:r>
      <w:r>
        <w:rPr>
          <w:color w:val="A83F52"/>
          <w:spacing w:val="-4"/>
        </w:rPr>
        <w:t>环</w:t>
      </w:r>
    </w:p>
    <w:p>
      <w:pPr>
        <w:pStyle w:val="BodyText"/>
        <w:spacing w:line="249" w:lineRule="auto" w:before="108"/>
        <w:ind w:left="424" w:right="608"/>
      </w:pPr>
      <w:r>
        <w:t>O形圈的维护是正确保养Temp1000Ex的关键因素。</w:t>
      </w:r>
      <w:r>
        <w:t>O形环确保紧密</w:t>
      </w:r>
      <w:r>
        <w:rPr>
          <w:spacing w:val="-2"/>
        </w:rPr>
        <w:t>密封</w:t>
      </w:r>
      <w:r>
        <w:rPr>
          <w:spacing w:val="-5"/>
        </w:rPr>
        <w:t>，</w:t>
      </w:r>
      <w:r>
        <w:rPr>
          <w:spacing w:val="-2"/>
        </w:rPr>
        <w:t>并</w:t>
      </w:r>
      <w:r>
        <w:rPr>
          <w:spacing w:val="-2"/>
        </w:rPr>
        <w:t>防止</w:t>
      </w:r>
      <w:r>
        <w:rPr>
          <w:spacing w:val="-2"/>
        </w:rPr>
        <w:t>液体</w:t>
      </w:r>
      <w:r>
        <w:rPr>
          <w:spacing w:val="-2"/>
        </w:rPr>
        <w:t>进入</w:t>
      </w:r>
    </w:p>
    <w:p>
      <w:pPr>
        <w:pStyle w:val="BodyText"/>
        <w:spacing w:line="249" w:lineRule="auto" w:before="2"/>
        <w:ind w:left="424"/>
      </w:pPr>
      <w:r>
        <w:rPr>
          <w:spacing w:val="-2"/>
        </w:rPr>
        <w:t xml:space="preserve">设备. </w:t>
      </w:r>
      <w:r>
        <w:t>有关如何防止O形环故障的信息</w:t>
      </w:r>
      <w:r>
        <w:rPr>
          <w:spacing w:val="-2"/>
        </w:rPr>
        <w:t>，请</w:t>
      </w:r>
      <w:r>
        <w:rPr>
          <w:spacing w:val="-2"/>
        </w:rPr>
        <w:t>参阅</w:t>
      </w:r>
      <w:r>
        <w:rPr>
          <w:spacing w:val="-2"/>
        </w:rPr>
        <w:t>应用</w:t>
      </w:r>
      <w:r>
        <w:rPr>
          <w:spacing w:val="-2"/>
        </w:rPr>
        <w:t>说明</w:t>
      </w:r>
      <w:r>
        <w:rPr>
          <w:spacing w:val="-2"/>
        </w:rPr>
        <w:t>“O形环</w:t>
      </w:r>
      <w:r>
        <w:rPr>
          <w:spacing w:val="-2"/>
        </w:rPr>
        <w:t>101：</w:t>
      </w:r>
      <w:r>
        <w:t>保护您的数据”，可在</w:t>
      </w:r>
      <w:hyperlink r:id="rId5">
        <w:r>
          <w:rPr>
            <w:b/>
            <w:color w:val="A83F52"/>
          </w:rPr>
          <w:t>madgetech.com</w:t>
        </w:r>
      </w:hyperlink>
    </w:p>
    <w:p>
      <w:pPr>
        <w:pStyle w:val="P68B1DB1-Heading418"/>
        <w:spacing w:before="165"/>
        <w:ind w:left="424"/>
      </w:pPr>
      <w:r>
        <w:t>重新校准</w:t>
      </w:r>
    </w:p>
    <w:p>
      <w:pPr>
        <w:pStyle w:val="BodyText"/>
        <w:spacing w:line="249" w:lineRule="auto" w:before="112"/>
        <w:ind w:left="424"/>
      </w:pPr>
      <w:r>
        <w:t>建议每年重新校准</w:t>
      </w:r>
      <w:r>
        <w:t>要将设备送回进行校准，请访问</w:t>
      </w:r>
      <w:hyperlink r:id="rId5">
        <w:r>
          <w:rPr>
            <w:b/>
            <w:color w:val="A83F52"/>
          </w:rPr>
          <w:t>madgetech.com</w:t>
        </w:r>
      </w:hyperlink>
      <w:r>
        <w:t>。</w:t>
      </w:r>
    </w:p>
    <w:p>
      <w:pPr>
        <w:pStyle w:val="P68B1DB1-Heading419"/>
        <w:spacing w:before="181"/>
        <w:ind w:left="424"/>
        <w:rPr>
          <w:rFonts w:ascii="Calibri"/>
        </w:rPr>
      </w:pPr>
      <w:r>
        <w:t>其他</w:t>
      </w:r>
      <w:r>
        <w:rPr>
          <w:spacing w:val="-2"/>
        </w:rPr>
        <w:t>服务：</w:t>
      </w:r>
    </w:p>
    <w:p>
      <w:pPr>
        <w:pStyle w:val="BodyText"/>
        <w:spacing w:line="249" w:lineRule="auto" w:before="12"/>
        <w:ind w:left="424" w:right="608"/>
      </w:pPr>
      <w:r>
        <w:t>提供定制校准和验证点</w:t>
      </w:r>
    </w:p>
    <w:p>
      <w:pPr>
        <w:spacing w:line="244" w:lineRule="auto" w:before="158"/>
        <w:ind w:left="424" w:right="100" w:firstLine="0"/>
        <w:jc w:val="left"/>
        <w:rPr>
          <w:i/>
          <w:sz w:val="16"/>
        </w:rPr>
        <w:pStyle w:val="P68B1DB1-Normal20"/>
      </w:pPr>
      <w:r>
        <w:t>要求定制校准选项以满足特定应用需求。</w:t>
      </w:r>
      <w:r>
        <w:rPr>
          <w:spacing w:val="40"/>
        </w:rPr>
        <w:t xml:space="preserve"> </w:t>
      </w:r>
      <w:r>
        <w:rPr>
          <w:spacing w:val="-2"/>
        </w:rPr>
        <w:t>价格</w:t>
      </w:r>
      <w:r>
        <w:rPr>
          <w:spacing w:val="-2"/>
        </w:rPr>
        <w:t>和</w:t>
      </w:r>
      <w:r>
        <w:rPr>
          <w:spacing w:val="-2"/>
        </w:rPr>
        <w:t>规格</w:t>
      </w:r>
      <w:r>
        <w:rPr>
          <w:spacing w:val="-2"/>
        </w:rPr>
        <w:t>可能</w:t>
      </w:r>
      <w:r>
        <w:rPr>
          <w:spacing w:val="-2"/>
        </w:rPr>
        <w:t>会发生</w:t>
      </w:r>
      <w:r>
        <w:rPr>
          <w:spacing w:val="-2"/>
        </w:rPr>
        <w:t>变化。</w:t>
      </w:r>
      <w:r>
        <w:t>请</w:t>
      </w:r>
      <w:r>
        <w:rPr>
          <w:spacing w:val="-2"/>
        </w:rPr>
        <w:t>参阅</w:t>
      </w:r>
      <w:r>
        <w:rPr>
          <w:spacing w:val="-2"/>
        </w:rPr>
        <w:t>MadgeTech的</w:t>
      </w:r>
      <w:r>
        <w:rPr>
          <w:spacing w:val="-2"/>
        </w:rPr>
        <w:t>条款</w:t>
      </w:r>
      <w:r>
        <w:rPr>
          <w:spacing w:val="-2"/>
        </w:rPr>
        <w:t>和</w:t>
      </w:r>
      <w:r>
        <w:rPr>
          <w:spacing w:val="-2"/>
        </w:rPr>
        <w:t>条件</w:t>
      </w:r>
      <w:hyperlink r:id="rId5">
        <w:r>
          <w:rPr>
            <w:b/>
          </w:rPr>
          <w:t>madgetech.com</w:t>
        </w:r>
      </w:hyperlink>
      <w:r>
        <w:t>。</w:t>
      </w:r>
    </w:p>
    <w:p>
      <w:pPr>
        <w:spacing w:line="244" w:lineRule="auto" w:before="92"/>
        <w:ind w:left="424" w:right="519" w:firstLine="0"/>
        <w:jc w:val="left"/>
        <w:rPr>
          <w:i/>
          <w:sz w:val="16"/>
        </w:rPr>
        <w:pStyle w:val="P68B1DB1-Normal20"/>
      </w:pPr>
      <w:r>
        <w:rPr>
          <w:spacing w:val="-4"/>
        </w:rPr>
        <w:t>要将设备发送到MadgeTech进行校准、服务或维修，请</w:t>
      </w:r>
      <w:r>
        <w:t>访问</w:t>
      </w:r>
      <w:hyperlink r:id="rId5">
        <w:r>
          <w:rPr>
            <w:b/>
          </w:rPr>
          <w:t>madgetech.com</w:t>
        </w:r>
      </w:hyperlink>
      <w:r>
        <w:t xml:space="preserve">使用MadgeTech RMA流程。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40" w:h="15840"/>
          <w:pgMar w:header="148" w:footer="0" w:top="1220" w:bottom="280" w:left="0" w:right="540"/>
          <w:cols w:num="2" w:equalWidth="0">
            <w:col w:w="5881" w:space="40"/>
            <w:col w:w="5779"/>
          </w:cols>
        </w:sectPr>
      </w:pPr>
    </w:p>
    <w:p>
      <w:pPr>
        <w:pStyle w:val="BodyText"/>
        <w:spacing w:before="118"/>
        <w:rPr>
          <w:i/>
          <w:sz w:val="20"/>
        </w:rPr>
      </w:pPr>
    </w:p>
    <w:p>
      <w:pPr>
        <w:pStyle w:val="P68B1DB1-BodyText4"/>
        <w:ind w:left="720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6858000" cy="1344295"/>
                <wp:effectExtent l="0" t="0" r="0" b="0"/>
                <wp:docPr id="45" name="文本框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文本框45"/>
                      <wps:cNvSpPr txBox="1"/>
                      <wps:spPr>
                        <a:xfrm>
                          <a:off x="0" y="0"/>
                          <a:ext cx="6858000" cy="13442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3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  <w:pStyle w:val="P68B1DB1-Normal21"/>
                            </w:pPr>
                            <w:r>
                              <w:t>通信</w:t>
                            </w:r>
                          </w:p>
                          <w:p>
                            <w:pPr>
                              <w:spacing w:line="249" w:lineRule="auto" w:before="107"/>
                              <w:ind w:left="403" w:right="409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  <w:pStyle w:val="P68B1DB1-Normal22"/>
                            </w:pPr>
                            <w:r>
                              <w:t>为确保TEMP1000Ex的预期操作，</w:t>
                            </w:r>
                            <w:r>
                              <w:rPr>
                                <w:b/>
                              </w:rPr>
                              <w:t>请保持表面没有任何异物或物质</w:t>
                            </w:r>
                            <w:r>
                              <w:t>。</w:t>
                            </w:r>
                            <w:r>
                              <w:t xml:space="preserve">TEMP1000Ex的数据通过与IFC 400或IFC 406扩展坞的外部连接下载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用</w:t>
                            </w:r>
                            <w:r>
                              <w:t>异物</w:t>
                            </w:r>
                            <w:r>
                              <w:rPr>
                                <w:spacing w:val="-8"/>
                              </w:rPr>
                              <w:t>覆盖表面</w:t>
                            </w:r>
                            <w:r>
                              <w:rPr>
                                <w:b/>
                              </w:rPr>
                              <w:t>（即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校准</w:t>
                            </w:r>
                            <w:r>
                              <w:rPr>
                                <w:b/>
                              </w:rPr>
                              <w:t>标签）</w:t>
                            </w:r>
                            <w:r>
                              <w:t>可能会</w:t>
                            </w:r>
                            <w:r>
                              <w:t>阻止</w:t>
                            </w:r>
                            <w:r>
                              <w:t>通信</w:t>
                            </w:r>
                            <w:r>
                              <w:t>和/或下载过程。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36"/>
        <w:rPr>
          <w:i/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5064074</wp:posOffset>
                </wp:positionH>
                <wp:positionV relativeFrom="paragraph">
                  <wp:posOffset>257247</wp:posOffset>
                </wp:positionV>
                <wp:extent cx="2251710" cy="430530"/>
                <wp:effectExtent l="0" t="0" r="0" b="0"/>
                <wp:wrapTopAndBottom/>
                <wp:docPr id="46" name="组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组46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47" name="图形47">
                          <a:hlinkClick r:id="rId5"/>
                        </wps:cNvPr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图像48">
                            <a:hlinkClick r:id="rId5"/>
                          </pic:cNvPr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图49">
                          <a:hlinkClick r:id="rId5"/>
                        </wps:cNvPr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图像50">
                            <a:hlinkClick r:id="rId5"/>
                          </pic:cNvPr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图51">
                          <a:hlinkClick r:id="rId5"/>
                        </wps:cNvPr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图像52">
                            <a:hlinkClick r:id="rId5"/>
                          </pic:cNvPr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图像53">
                            <a:hlinkClick r:id="rId5"/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图表54">
                          <a:hlinkClick r:id="rId5"/>
                        </wps:cNvPr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>
                          <a:hlinkClick r:id="rId5"/>
                        </wps:cNvPr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61"/>
        <w:rPr>
          <w:i/>
          <w:sz w:val="24"/>
        </w:rPr>
      </w:pPr>
    </w:p>
    <w:p>
      <w:pPr>
        <w:spacing w:before="1"/>
        <w:ind w:left="662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5815723</wp:posOffset>
            </wp:positionH>
            <wp:positionV relativeFrom="paragraph">
              <wp:posOffset>-354805</wp:posOffset>
            </wp:positionV>
            <wp:extent cx="166868" cy="65341"/>
            <wp:effectExtent l="0" t="0" r="0" b="0"/>
            <wp:wrapNone/>
            <wp:docPr id="57" name="图像57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图像57">
                      <a:hlinkClick r:id="rId5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4544">
            <wp:simplePos x="0" y="0"/>
            <wp:positionH relativeFrom="page">
              <wp:posOffset>6418872</wp:posOffset>
            </wp:positionH>
            <wp:positionV relativeFrom="paragraph">
              <wp:posOffset>-354805</wp:posOffset>
            </wp:positionV>
            <wp:extent cx="296269" cy="65341"/>
            <wp:effectExtent l="0" t="0" r="0" b="0"/>
            <wp:wrapNone/>
            <wp:docPr id="58" name="图像58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图像58">
                      <a:hlinkClick r:id="rId5"/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23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24">
        <w:r>
          <w:rPr>
            <w:rFonts w:ascii="Arial" w:hAnsi="Arial"/>
            <w:spacing w:val="-2"/>
            <w:sz w:val="24"/>
          </w:rPr>
          <w:t>http://www.eofirm.com</w:t>
        </w:r>
      </w:hyperlink>
    </w:p>
    <w:p>
      <w:pPr>
        <w:spacing w:after="0"/>
        <w:jc w:val="left"/>
        <w:rPr>
          <w:rFonts w:ascii="Arial" w:hAnsi="Arial"/>
          <w:sz w:val="24"/>
        </w:rPr>
        <w:sectPr>
          <w:type w:val="continuous"/>
          <w:pgSz w:w="12240" w:h="15840"/>
          <w:pgMar w:header="148" w:footer="0" w:top="1220" w:bottom="280" w:left="0" w:right="540"/>
        </w:sectPr>
      </w:pPr>
    </w:p>
    <w:p>
      <w:pPr>
        <w:pStyle w:val="BodyText"/>
        <w:rPr>
          <w:rFonts w:ascii="Arial"/>
          <w:sz w:val="48"/>
        </w:rPr>
      </w:pPr>
    </w:p>
    <w:p>
      <w:pPr>
        <w:pStyle w:val="BodyText"/>
        <w:rPr>
          <w:rFonts w:ascii="Arial"/>
          <w:sz w:val="48"/>
        </w:rPr>
      </w:pPr>
    </w:p>
    <w:p>
      <w:pPr>
        <w:pStyle w:val="BodyText"/>
        <w:spacing w:before="194"/>
        <w:rPr>
          <w:rFonts w:ascii="Arial"/>
          <w:sz w:val="48"/>
        </w:rPr>
      </w:pPr>
    </w:p>
    <w:p>
      <w:pPr>
        <w:pStyle w:val="P68B1DB1-Heading123"/>
        <w:spacing w:line="577" w:lineRule="exact"/>
        <w:ind w:left="552"/>
        <w:jc w:val="center"/>
      </w:pPr>
      <w:bookmarkStart w:name="_bookmark2" w:id="3"/>
      <w:bookmarkEnd w:id="3"/>
      <w:r>
        <w:t>ec</w:t>
      </w:r>
      <w:r>
        <w:rPr>
          <w:spacing w:val="-2"/>
        </w:rPr>
        <w:t>符合标准</w:t>
      </w:r>
      <w:r>
        <w:t>声明</w:t>
      </w:r>
    </w:p>
    <w:p>
      <w:pPr>
        <w:pStyle w:val="P68B1DB1-Heading419"/>
        <w:spacing w:line="254" w:lineRule="exact" w:before="0"/>
        <w:ind w:left="552"/>
        <w:jc w:val="center"/>
        <w:rPr>
          <w:rFonts w:ascii="Calibri"/>
        </w:rPr>
      </w:pPr>
      <w:r>
        <w:t>号</w:t>
      </w:r>
      <w:r>
        <w:t>DC-2020-</w:t>
      </w:r>
      <w:r>
        <w:rPr>
          <w:spacing w:val="-5"/>
        </w:rPr>
        <w:t>250</w:t>
      </w:r>
    </w:p>
    <w:p>
      <w:pPr>
        <w:spacing w:line="214" w:lineRule="exact" w:before="0"/>
        <w:ind w:left="552" w:right="0" w:firstLine="0"/>
        <w:jc w:val="center"/>
        <w:rPr>
          <w:sz w:val="18"/>
        </w:rPr>
        <w:pStyle w:val="P68B1DB1-Normal24"/>
      </w:pPr>
      <w:r>
        <w:rPr>
          <w:spacing w:val="-2"/>
        </w:rPr>
        <w:t xml:space="preserve">根据EN ISO/IEC 17050-1：2004</w:t>
      </w:r>
    </w:p>
    <w:p>
      <w:pPr>
        <w:spacing w:before="180"/>
        <w:ind w:left="1608" w:right="0" w:firstLine="0"/>
        <w:jc w:val="left"/>
        <w:rPr>
          <w:b/>
          <w:sz w:val="18"/>
        </w:rPr>
        <w:pStyle w:val="P68B1DB1-Normal25"/>
      </w:pPr>
      <w:r>
        <w:rPr>
          <w:spacing w:val="-2"/>
        </w:rPr>
        <w:t>制造商</w:t>
      </w:r>
      <w:r>
        <w:t>的名称和地址</w:t>
      </w:r>
    </w:p>
    <w:p>
      <w:pPr>
        <w:spacing w:before="0"/>
        <w:ind w:left="1608" w:right="8879" w:firstLine="0"/>
        <w:jc w:val="left"/>
        <w:rPr>
          <w:sz w:val="18"/>
        </w:rPr>
        <w:pStyle w:val="P68B1DB1-Normal24"/>
      </w:pPr>
      <w:r>
        <w:rPr>
          <w:spacing w:val="-4"/>
        </w:rPr>
        <w:t>MadgeTech</w:t>
      </w:r>
      <w:r>
        <w:rPr>
          <w:spacing w:val="-4"/>
        </w:rPr>
        <w:t>公司</w:t>
      </w:r>
      <w:r>
        <w:t>华纳路6号</w:t>
      </w:r>
    </w:p>
    <w:p>
      <w:pPr>
        <w:spacing w:before="1"/>
        <w:ind w:left="1608" w:right="0" w:firstLine="0"/>
        <w:jc w:val="left"/>
        <w:rPr>
          <w:sz w:val="18"/>
        </w:rPr>
        <w:pStyle w:val="P68B1DB1-Normal24"/>
      </w:pPr>
      <w:r>
        <w:rPr>
          <w:spacing w:val="-6"/>
        </w:rPr>
        <w:t xml:space="preserve">Warner，NH 03278 USA</w:t>
      </w:r>
    </w:p>
    <w:p>
      <w:pPr>
        <w:spacing w:before="90"/>
        <w:ind w:left="1608" w:right="0" w:firstLine="0"/>
        <w:jc w:val="left"/>
        <w:rPr>
          <w:b/>
          <w:sz w:val="18"/>
        </w:rPr>
        <w:pStyle w:val="P68B1DB1-Normal25"/>
      </w:pPr>
      <w:r>
        <w:t>产品型号及</w:t>
      </w:r>
      <w:r>
        <w:rPr>
          <w:spacing w:val="-2"/>
        </w:rPr>
        <w:t>描述：</w:t>
      </w:r>
    </w:p>
    <w:p>
      <w:pPr>
        <w:spacing w:after="0"/>
        <w:jc w:val="left"/>
        <w:rPr>
          <w:sz w:val="18"/>
        </w:rPr>
        <w:sectPr>
          <w:headerReference w:type="default" r:id="rId25"/>
          <w:pgSz w:w="12240" w:h="15840"/>
          <w:pgMar w:header="148" w:footer="0" w:top="460" w:bottom="280" w:left="0" w:right="540"/>
        </w:sectPr>
      </w:pPr>
    </w:p>
    <w:p>
      <w:pPr>
        <w:spacing w:line="242" w:lineRule="exact" w:before="71"/>
        <w:ind w:left="1688" w:right="0" w:firstLine="0"/>
        <w:jc w:val="left"/>
        <w:rPr>
          <w:sz w:val="20"/>
        </w:rPr>
        <w:pStyle w:val="P68B1DB1-Normal26"/>
      </w:pPr>
      <w:r>
        <w:rPr>
          <w:spacing w:val="-4"/>
        </w:rPr>
        <w:t>902153-00-Temp1000EX-</w:t>
      </w:r>
      <w:r>
        <w:rPr>
          <w:spacing w:val="-10"/>
        </w:rPr>
        <w:t>2</w:t>
      </w:r>
    </w:p>
    <w:p>
      <w:pPr>
        <w:spacing w:line="240" w:lineRule="exact" w:before="0"/>
        <w:ind w:left="1688" w:right="0" w:firstLine="0"/>
        <w:jc w:val="left"/>
        <w:rPr>
          <w:sz w:val="20"/>
        </w:rPr>
        <w:pStyle w:val="P68B1DB1-Normal26"/>
      </w:pPr>
      <w:r>
        <w:t>902154-00-</w:t>
      </w:r>
      <w:r>
        <w:rPr>
          <w:spacing w:val="-2"/>
        </w:rPr>
        <w:t>RHTemp1000EX</w:t>
      </w:r>
    </w:p>
    <w:p>
      <w:pPr>
        <w:spacing w:line="240" w:lineRule="exact" w:before="0"/>
        <w:ind w:left="1688" w:right="0" w:firstLine="0"/>
        <w:jc w:val="left"/>
        <w:rPr>
          <w:sz w:val="20"/>
        </w:rPr>
        <w:pStyle w:val="P68B1DB1-Normal26"/>
      </w:pPr>
      <w:r>
        <w:rPr>
          <w:spacing w:val="-4"/>
        </w:rPr>
        <w:t>902155-00-Temp1000EX-</w:t>
      </w:r>
      <w:r>
        <w:rPr>
          <w:spacing w:val="-10"/>
        </w:rPr>
        <w:t>1</w:t>
      </w:r>
    </w:p>
    <w:p>
      <w:pPr>
        <w:spacing w:line="240" w:lineRule="exact" w:before="0"/>
        <w:ind w:left="1688" w:right="0" w:firstLine="0"/>
        <w:jc w:val="left"/>
        <w:rPr>
          <w:sz w:val="20"/>
        </w:rPr>
        <w:pStyle w:val="P68B1DB1-Normal26"/>
      </w:pPr>
      <w:r>
        <w:rPr>
          <w:spacing w:val="-4"/>
        </w:rPr>
        <w:t>902156-00-Temp1000EX-5.25</w:t>
      </w:r>
    </w:p>
    <w:p>
      <w:pPr>
        <w:spacing w:line="242" w:lineRule="exact" w:before="0"/>
        <w:ind w:left="1688" w:right="0" w:firstLine="0"/>
        <w:jc w:val="left"/>
        <w:rPr>
          <w:sz w:val="20"/>
        </w:rPr>
        <w:pStyle w:val="P68B1DB1-Normal26"/>
      </w:pPr>
      <w:r>
        <w:rPr>
          <w:spacing w:val="-4"/>
        </w:rPr>
        <w:t>902157-00-Temp1000EX-</w:t>
      </w:r>
      <w:r>
        <w:rPr>
          <w:spacing w:val="-10"/>
        </w:rPr>
        <w:t>7</w:t>
      </w:r>
    </w:p>
    <w:p>
      <w:pPr>
        <w:spacing w:line="242" w:lineRule="exact" w:before="71"/>
        <w:ind w:left="1688" w:right="0" w:firstLine="0"/>
        <w:jc w:val="left"/>
        <w:rPr>
          <w:sz w:val="20"/>
        </w:rPr>
      </w:pPr>
      <w:r>
        <w:br w:type="column"/>
      </w:r>
      <w:r>
        <w:rPr>
          <w:spacing w:val="-2"/>
          <w:sz w:val="20"/>
        </w:rPr>
        <w:t>902208-00</w:t>
      </w:r>
      <w:r>
        <w:rPr>
          <w:spacing w:val="-2"/>
          <w:sz w:val="20"/>
        </w:rPr>
        <w:t>-</w:t>
      </w:r>
      <w:r>
        <w:rPr>
          <w:spacing w:val="-2"/>
          <w:sz w:val="20"/>
        </w:rPr>
        <w:t>RHTemp1000EX-</w:t>
      </w:r>
      <w:r>
        <w:rPr>
          <w:spacing w:val="-5"/>
          <w:sz w:val="20"/>
        </w:rPr>
        <w:t>KR</w:t>
      </w:r>
    </w:p>
    <w:p>
      <w:pPr>
        <w:spacing w:line="240" w:lineRule="exact" w:before="0"/>
        <w:ind w:left="1688" w:right="0" w:firstLine="0"/>
        <w:jc w:val="left"/>
        <w:rPr>
          <w:sz w:val="20"/>
        </w:rPr>
        <w:pStyle w:val="P68B1DB1-Normal26"/>
      </w:pPr>
      <w:r>
        <w:rPr>
          <w:spacing w:val="-2"/>
        </w:rPr>
        <w:t>902209-00-Temp1000EX-1-</w:t>
      </w:r>
      <w:r>
        <w:rPr>
          <w:spacing w:val="-5"/>
        </w:rPr>
        <w:t>KR</w:t>
      </w:r>
    </w:p>
    <w:p>
      <w:pPr>
        <w:spacing w:line="240" w:lineRule="exact" w:before="0"/>
        <w:ind w:left="1688" w:right="0" w:firstLine="0"/>
        <w:jc w:val="left"/>
        <w:rPr>
          <w:sz w:val="20"/>
        </w:rPr>
        <w:pStyle w:val="P68B1DB1-Normal26"/>
      </w:pPr>
      <w:r>
        <w:rPr>
          <w:spacing w:val="-2"/>
        </w:rPr>
        <w:t>902210-00-Temp1000EX-2-</w:t>
      </w:r>
      <w:r>
        <w:rPr>
          <w:spacing w:val="-5"/>
        </w:rPr>
        <w:t>KR</w:t>
      </w:r>
    </w:p>
    <w:p>
      <w:pPr>
        <w:spacing w:line="240" w:lineRule="exact" w:before="0"/>
        <w:ind w:left="1688" w:right="0" w:firstLine="0"/>
        <w:jc w:val="left"/>
        <w:rPr>
          <w:sz w:val="20"/>
        </w:rPr>
        <w:pStyle w:val="P68B1DB1-Normal26"/>
      </w:pPr>
      <w:r>
        <w:rPr>
          <w:spacing w:val="-4"/>
        </w:rPr>
        <w:t>902211-00-Temp1000EX-5.25-</w:t>
      </w:r>
      <w:r>
        <w:rPr>
          <w:spacing w:val="-5"/>
        </w:rPr>
        <w:t>KR</w:t>
      </w:r>
    </w:p>
    <w:p>
      <w:pPr>
        <w:spacing w:line="242" w:lineRule="exact" w:before="0"/>
        <w:ind w:left="1688" w:right="0" w:firstLine="0"/>
        <w:jc w:val="left"/>
        <w:rPr>
          <w:sz w:val="20"/>
        </w:rPr>
        <w:pStyle w:val="P68B1DB1-Normal26"/>
      </w:pPr>
      <w:r>
        <w:rPr>
          <w:spacing w:val="-2"/>
        </w:rPr>
        <w:t>902212-00-Temp1000EX-7-</w:t>
      </w:r>
      <w:r>
        <w:rPr>
          <w:spacing w:val="-5"/>
        </w:rPr>
        <w:t>KR</w:t>
      </w:r>
    </w:p>
    <w:p>
      <w:pPr>
        <w:spacing w:after="0" w:line="242" w:lineRule="exact"/>
        <w:jc w:val="left"/>
        <w:rPr>
          <w:sz w:val="20"/>
        </w:rPr>
        <w:sectPr>
          <w:type w:val="continuous"/>
          <w:pgSz w:w="12240" w:h="15840"/>
          <w:pgMar w:header="148" w:footer="0" w:top="1220" w:bottom="280" w:left="0" w:right="540"/>
          <w:cols w:num="2" w:equalWidth="0">
            <w:col w:w="4200" w:space="318"/>
            <w:col w:w="7182"/>
          </w:cols>
        </w:sectPr>
      </w:pPr>
    </w:p>
    <w:p>
      <w:pPr>
        <w:spacing w:before="85"/>
        <w:ind w:left="1608" w:right="0" w:firstLine="0"/>
        <w:jc w:val="left"/>
        <w:rPr>
          <w:b/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60" name="组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组60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61" name="图形61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3F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文本框62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27"/>
                              </w:pPr>
                              <w:r>
                                <w:rPr>
                                  <w:spacing w:val="-5"/>
                                </w:rPr>
                                <w:t>附录</w:t>
                              </w: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572498</wp:posOffset>
                </wp:positionH>
                <wp:positionV relativeFrom="page">
                  <wp:posOffset>1188722</wp:posOffset>
                </wp:positionV>
                <wp:extent cx="6633845" cy="8514080"/>
                <wp:effectExtent l="0" t="0" r="0" b="0"/>
                <wp:wrapNone/>
                <wp:docPr id="63" name="组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组63"/>
                      <wpg:cNvGrpSpPr/>
                      <wpg:grpSpPr>
                        <a:xfrm>
                          <a:off x="0" y="0"/>
                          <a:ext cx="6633845" cy="8514080"/>
                          <a:chExt cx="6633845" cy="8514080"/>
                        </a:xfrm>
                      </wpg:grpSpPr>
                      <pic:pic>
                        <pic:nvPicPr>
                          <pic:cNvPr id="64" name="图像6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312" cy="85137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图像6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089" y="7354313"/>
                            <a:ext cx="1345996" cy="5468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b/>
          <w:sz w:val="18"/>
        </w:rPr>
        <w:t>本产品符合以下欧盟协调</w:t>
      </w:r>
      <w:r>
        <w:rPr>
          <w:b/>
          <w:spacing w:val="-2"/>
          <w:sz w:val="18"/>
        </w:rPr>
        <w:t>立法：</w:t>
      </w:r>
    </w:p>
    <w:p>
      <w:pPr>
        <w:spacing w:before="0"/>
        <w:ind w:left="1608" w:right="0" w:firstLine="0"/>
        <w:jc w:val="left"/>
        <w:rPr>
          <w:sz w:val="18"/>
        </w:rPr>
        <w:pStyle w:val="P68B1DB1-Normal24"/>
      </w:pPr>
      <w:r>
        <w:rPr>
          <w:spacing w:val="-6"/>
        </w:rPr>
        <w:t>2014/34/EU-ATEX指令</w:t>
      </w:r>
    </w:p>
    <w:p>
      <w:pPr>
        <w:spacing w:before="91"/>
        <w:ind w:left="1608" w:right="0" w:firstLine="0"/>
        <w:jc w:val="left"/>
        <w:rPr>
          <w:b/>
          <w:sz w:val="18"/>
        </w:rPr>
        <w:pStyle w:val="P68B1DB1-Normal28"/>
      </w:pPr>
      <w:r>
        <w:t>下列协调标准和其他技术规范用于支持该</w:t>
      </w:r>
      <w:r>
        <w:rPr>
          <w:spacing w:val="-2"/>
        </w:rPr>
        <w:t>声明：</w:t>
      </w:r>
    </w:p>
    <w:p>
      <w:pPr>
        <w:tabs>
          <w:tab w:pos="5928" w:val="left" w:leader="none"/>
          <w:tab w:pos="7368" w:val="left" w:leader="none"/>
        </w:tabs>
        <w:spacing w:before="0"/>
        <w:ind w:left="1608" w:right="0" w:firstLine="0"/>
        <w:jc w:val="left"/>
        <w:rPr>
          <w:sz w:val="18"/>
        </w:rPr>
        <w:pStyle w:val="P68B1DB1-Normal24"/>
      </w:pPr>
      <w:r>
        <w:t>协调</w:t>
      </w:r>
      <w:r>
        <w:rPr>
          <w:spacing w:val="-2"/>
        </w:rPr>
        <w:t>标准：</w:t>
      </w:r>
      <w:r>
        <w:tab/>
      </w:r>
      <w:r>
        <w:rPr>
          <w:spacing w:val="-4"/>
        </w:rPr>
        <w:t xml:space="preserve">EN 60079</w:t>
      </w:r>
      <w:r>
        <w:rPr>
          <w:spacing w:val="-4"/>
        </w:rPr>
        <w:t>-</w:t>
      </w:r>
      <w:r>
        <w:rPr>
          <w:spacing w:val="-12"/>
        </w:rPr>
        <w:t>0</w:t>
      </w:r>
      <w:r>
        <w:rPr>
          <w:spacing w:val="-4"/>
        </w:rPr>
        <w:t>2018</w:t>
      </w:r>
      <w:r>
        <w:t>版</w:t>
      </w:r>
    </w:p>
    <w:p>
      <w:pPr>
        <w:tabs>
          <w:tab w:pos="7368" w:val="left" w:leader="none"/>
        </w:tabs>
        <w:spacing w:before="0"/>
        <w:ind w:left="5928" w:right="0" w:firstLine="0"/>
        <w:jc w:val="left"/>
        <w:rPr>
          <w:sz w:val="18"/>
        </w:rPr>
        <w:pStyle w:val="P68B1DB1-Normal24"/>
      </w:pPr>
      <w:r>
        <w:rPr>
          <w:spacing w:val="-4"/>
        </w:rPr>
        <w:t>EN</w:t>
      </w:r>
      <w:r>
        <w:rPr>
          <w:spacing w:val="-4"/>
        </w:rPr>
        <w:t xml:space="preserve">60079 -</w:t>
      </w:r>
      <w:r>
        <w:rPr>
          <w:spacing w:val="-5"/>
        </w:rPr>
        <w:t>11</w:t>
      </w:r>
      <w:r>
        <w:rPr>
          <w:spacing w:val="-4"/>
        </w:rPr>
        <w:t>2012</w:t>
      </w:r>
      <w:r>
        <w:t>版</w:t>
      </w:r>
    </w:p>
    <w:p>
      <w:pPr>
        <w:spacing w:before="90"/>
        <w:ind w:left="1608" w:right="1010" w:firstLine="0"/>
        <w:jc w:val="left"/>
        <w:rPr>
          <w:sz w:val="18"/>
        </w:rPr>
        <w:pStyle w:val="P68B1DB1-Normal24"/>
      </w:pPr>
      <w:r>
        <w:rPr>
          <w:spacing w:val="-2"/>
        </w:rPr>
        <w:t xml:space="preserve">公告机构SGS Fimko Oy（编号0598）根据指令附录III进行了欧盟型式检验，并</w:t>
      </w:r>
      <w:r>
        <w:t xml:space="preserve">颁发了证书：Baseefa19ATEX 0126</w:t>
      </w:r>
    </w:p>
    <w:p>
      <w:pPr>
        <w:spacing w:before="91"/>
        <w:ind w:left="1608" w:right="1010" w:firstLine="0"/>
        <w:jc w:val="left"/>
        <w:rPr>
          <w:sz w:val="18"/>
        </w:rPr>
        <w:pStyle w:val="P68B1DB1-Normal24"/>
      </w:pPr>
      <w:r>
        <w:t xml:space="preserve">公告机构SGS Fimko Oy（编号0598）根据指令附录IV，基于生产过程的质量保证，执行了类型符合性，并发布了QA通知文件：Baseefa19ATEX 0126</w:t>
      </w:r>
    </w:p>
    <w:p>
      <w:pPr>
        <w:spacing w:before="90"/>
        <w:ind w:left="1608" w:right="0" w:firstLine="0"/>
        <w:jc w:val="left"/>
        <w:rPr>
          <w:b/>
          <w:sz w:val="18"/>
        </w:rPr>
        <w:pStyle w:val="P68B1DB1-Normal28"/>
      </w:pPr>
      <w:r>
        <w:rPr>
          <w:spacing w:val="-2"/>
        </w:rPr>
        <w:t>此外，</w:t>
      </w:r>
      <w:r>
        <w:rPr>
          <w:spacing w:val="-2"/>
        </w:rPr>
        <w:t>产品</w:t>
      </w:r>
      <w:r>
        <w:rPr>
          <w:spacing w:val="-2"/>
        </w:rPr>
        <w:t>符合</w:t>
      </w:r>
      <w:r>
        <w:rPr>
          <w:spacing w:val="-2"/>
        </w:rPr>
        <w:t>基本</w:t>
      </w:r>
      <w:r>
        <w:rPr>
          <w:spacing w:val="-2"/>
        </w:rPr>
        <w:t>要求，</w:t>
      </w:r>
      <w:r>
        <w:rPr>
          <w:spacing w:val="-2"/>
        </w:rPr>
        <w:t>并</w:t>
      </w:r>
      <w:r>
        <w:rPr>
          <w:spacing w:val="-2"/>
        </w:rPr>
        <w:t>相应</w:t>
      </w:r>
      <w:r>
        <w:rPr>
          <w:spacing w:val="-2"/>
        </w:rPr>
        <w:t>地</w:t>
      </w:r>
      <w:r>
        <w:rPr>
          <w:spacing w:val="-2"/>
        </w:rPr>
        <w:t>带有</w:t>
      </w:r>
      <w:r>
        <w:rPr>
          <w:spacing w:val="-2"/>
        </w:rPr>
        <w:t>CE</w:t>
      </w:r>
      <w:r>
        <w:rPr>
          <w:spacing w:val="-2"/>
        </w:rPr>
        <w:t>标志</w:t>
      </w:r>
      <w:r>
        <w:rPr>
          <w:spacing w:val="-2"/>
        </w:rPr>
        <w:t>：</w:t>
      </w:r>
    </w:p>
    <w:p>
      <w:pPr>
        <w:spacing w:before="0"/>
        <w:ind w:left="1608" w:right="7038" w:firstLine="0"/>
        <w:jc w:val="left"/>
        <w:rPr>
          <w:sz w:val="18"/>
        </w:rPr>
        <w:pStyle w:val="P68B1DB1-Normal24"/>
      </w:pPr>
      <w:r>
        <w:t xml:space="preserve">2014/30/EU - EMC指令2015/863/EU-RoHS 3指令</w:t>
      </w:r>
      <w:r>
        <w:rPr>
          <w:spacing w:val="-4"/>
        </w:rPr>
        <w:t>1907/2006/EU</w:t>
      </w:r>
      <w:r>
        <w:rPr>
          <w:spacing w:val="-4"/>
        </w:rPr>
        <w:t>-</w:t>
      </w:r>
      <w:r>
        <w:rPr>
          <w:spacing w:val="-4"/>
        </w:rPr>
        <w:t>REACH</w:t>
      </w:r>
      <w:r>
        <w:rPr>
          <w:spacing w:val="-4"/>
        </w:rPr>
        <w:t>指令</w:t>
      </w:r>
    </w:p>
    <w:p>
      <w:pPr>
        <w:spacing w:before="91"/>
        <w:ind w:left="1608" w:right="0" w:firstLine="0"/>
        <w:jc w:val="left"/>
        <w:rPr>
          <w:b/>
          <w:sz w:val="18"/>
        </w:rPr>
        <w:pStyle w:val="P68B1DB1-Normal28"/>
      </w:pPr>
      <w:r>
        <w:t>并符合下列产品标准和/或规范性</w:t>
      </w:r>
      <w:r>
        <w:rPr>
          <w:spacing w:val="-2"/>
        </w:rPr>
        <w:t>文件：</w:t>
      </w:r>
    </w:p>
    <w:p>
      <w:pPr>
        <w:tabs>
          <w:tab w:pos="3048" w:val="left" w:leader="none"/>
        </w:tabs>
        <w:spacing w:before="0"/>
        <w:ind w:left="1608" w:right="0" w:firstLine="0"/>
        <w:jc w:val="left"/>
        <w:rPr>
          <w:sz w:val="18"/>
        </w:rPr>
        <w:pStyle w:val="P68B1DB1-Normal24"/>
      </w:pPr>
      <w:r>
        <w:rPr>
          <w:spacing w:val="-4"/>
        </w:rPr>
        <w:t>IEC</w:t>
      </w:r>
      <w:r>
        <w:rPr>
          <w:spacing w:val="-4"/>
        </w:rPr>
        <w:t>61326-</w:t>
      </w:r>
      <w:r>
        <w:rPr>
          <w:spacing w:val="-10"/>
        </w:rPr>
        <w:t>1</w:t>
      </w:r>
      <w:r>
        <w:rPr>
          <w:spacing w:val="-4"/>
        </w:rPr>
        <w:t>2013</w:t>
      </w:r>
      <w:r>
        <w:t>版</w:t>
      </w:r>
    </w:p>
    <w:p>
      <w:pPr>
        <w:spacing w:before="91"/>
        <w:ind w:left="1608" w:right="0" w:firstLine="0"/>
        <w:jc w:val="left"/>
        <w:rPr>
          <w:b/>
          <w:sz w:val="18"/>
        </w:rPr>
        <w:pStyle w:val="P68B1DB1-Normal25"/>
      </w:pPr>
      <w:r>
        <w:t>排放</w:t>
      </w:r>
      <w:r>
        <w:rPr>
          <w:spacing w:val="-2"/>
        </w:rPr>
        <w:t>要求</w:t>
      </w:r>
    </w:p>
    <w:p>
      <w:pPr>
        <w:spacing w:before="0"/>
        <w:ind w:left="1608" w:right="6713" w:firstLine="0"/>
        <w:jc w:val="left"/>
        <w:rPr>
          <w:sz w:val="18"/>
        </w:rPr>
        <w:pStyle w:val="P68B1DB1-Normal24"/>
      </w:pPr>
      <w:r>
        <w:t xml:space="preserve">CISPR 11，辐射发射，30 MHz至1 GHz限值：CISPR 11，1组，A类</w:t>
      </w:r>
    </w:p>
    <w:p>
      <w:pPr>
        <w:spacing w:before="0"/>
        <w:ind w:left="1608" w:right="0" w:firstLine="0"/>
        <w:jc w:val="left"/>
        <w:rPr>
          <w:sz w:val="18"/>
        </w:rPr>
        <w:pStyle w:val="P68B1DB1-Normal24"/>
      </w:pPr>
      <w:r>
        <w:t>限值：FCC</w:t>
      </w:r>
      <w:r>
        <w:rPr>
          <w:spacing w:val="-10"/>
        </w:rPr>
        <w:t>A</w:t>
      </w:r>
      <w:r>
        <w:t>类</w:t>
      </w:r>
    </w:p>
    <w:p>
      <w:pPr>
        <w:spacing w:before="91"/>
        <w:ind w:left="1608" w:right="0" w:firstLine="0"/>
        <w:jc w:val="left"/>
        <w:rPr>
          <w:b/>
          <w:sz w:val="18"/>
        </w:rPr>
        <w:pStyle w:val="P68B1DB1-Normal25"/>
      </w:pPr>
      <w:r>
        <w:t>外壳</w:t>
      </w:r>
      <w:r>
        <w:rPr>
          <w:spacing w:val="-4"/>
        </w:rPr>
        <w:t>端口</w:t>
      </w:r>
    </w:p>
    <w:p>
      <w:pPr>
        <w:spacing w:before="0"/>
        <w:ind w:left="1608" w:right="7038" w:firstLine="0"/>
        <w:jc w:val="left"/>
        <w:rPr>
          <w:sz w:val="18"/>
        </w:rPr>
        <w:pStyle w:val="P68B1DB1-Normal24"/>
      </w:pPr>
      <w:r>
        <w:t xml:space="preserve">IEC 61000-4-2，静电放电</w:t>
      </w:r>
      <w:r>
        <w:rPr>
          <w:spacing w:val="-4"/>
        </w:rPr>
        <w:t>水平：</w:t>
      </w:r>
      <w:r>
        <w:rPr>
          <w:spacing w:val="-4"/>
        </w:rPr>
        <w:t>4</w:t>
      </w:r>
      <w:r>
        <w:rPr>
          <w:spacing w:val="-4"/>
        </w:rPr>
        <w:t>kV</w:t>
      </w:r>
      <w:r>
        <w:rPr>
          <w:spacing w:val="-4"/>
        </w:rPr>
        <w:t>接触，</w:t>
      </w:r>
      <w:r>
        <w:rPr>
          <w:spacing w:val="-4"/>
        </w:rPr>
        <w:t>8</w:t>
      </w:r>
      <w:r>
        <w:rPr>
          <w:spacing w:val="-4"/>
        </w:rPr>
        <w:t>kV</w:t>
      </w:r>
      <w:r>
        <w:rPr>
          <w:spacing w:val="-4"/>
        </w:rPr>
        <w:t>空气</w:t>
      </w:r>
      <w:r>
        <w:rPr>
          <w:spacing w:val="-4"/>
        </w:rPr>
        <w:t>放电</w:t>
      </w:r>
    </w:p>
    <w:p>
      <w:pPr>
        <w:spacing w:before="90"/>
        <w:ind w:left="1608" w:right="6713" w:firstLine="0"/>
        <w:jc w:val="left"/>
        <w:rPr>
          <w:sz w:val="18"/>
        </w:rPr>
        <w:pStyle w:val="P68B1DB1-Normal24"/>
      </w:pPr>
      <w:r>
        <w:rPr>
          <w:spacing w:val="-2"/>
        </w:rPr>
        <w:t>IEC</w:t>
      </w:r>
      <w:r>
        <w:rPr>
          <w:spacing w:val="-2"/>
        </w:rPr>
        <w:t>61000-4-3，</w:t>
      </w:r>
      <w:r>
        <w:rPr>
          <w:spacing w:val="-2"/>
        </w:rPr>
        <w:t>辐射</w:t>
      </w:r>
      <w:r>
        <w:rPr>
          <w:spacing w:val="-2"/>
        </w:rPr>
        <w:t>抗扰度</w:t>
      </w:r>
      <w:r>
        <w:rPr>
          <w:spacing w:val="-2"/>
        </w:rPr>
        <w:t>（EM</w:t>
      </w:r>
      <w:r>
        <w:rPr>
          <w:spacing w:val="-2"/>
        </w:rPr>
        <w:t>场）</w:t>
      </w:r>
      <w:r>
        <w:t xml:space="preserve">水平：10 V/M，80至1000 MHz</w:t>
      </w:r>
    </w:p>
    <w:p>
      <w:pPr>
        <w:spacing w:before="1"/>
        <w:ind w:left="1608" w:right="0" w:firstLine="0"/>
        <w:jc w:val="left"/>
        <w:rPr>
          <w:sz w:val="18"/>
        </w:rPr>
        <w:pStyle w:val="P68B1DB1-Normal29"/>
      </w:pPr>
      <w:r>
        <w:t xml:space="preserve">3 V/M，1.4至2.0</w:t>
      </w:r>
      <w:r>
        <w:rPr>
          <w:spacing w:val="-5"/>
        </w:rPr>
        <w:t>GHz</w:t>
      </w:r>
    </w:p>
    <w:p>
      <w:pPr>
        <w:spacing w:before="0"/>
        <w:ind w:left="1608" w:right="0" w:firstLine="0"/>
        <w:jc w:val="left"/>
        <w:rPr>
          <w:sz w:val="18"/>
        </w:rPr>
        <w:pStyle w:val="P68B1DB1-Normal29"/>
      </w:pPr>
      <w:r>
        <w:t xml:space="preserve">1 V/M，2.0至2.7</w:t>
      </w:r>
      <w:r>
        <w:rPr>
          <w:spacing w:val="-5"/>
        </w:rPr>
        <w:t>GHz</w:t>
      </w:r>
    </w:p>
    <w:p>
      <w:pPr>
        <w:spacing w:before="90"/>
        <w:ind w:left="1608" w:right="0" w:firstLine="0"/>
        <w:jc w:val="left"/>
        <w:rPr>
          <w:b/>
          <w:sz w:val="18"/>
        </w:rPr>
        <w:pStyle w:val="P68B1DB1-Normal28"/>
      </w:pPr>
      <w:r>
        <w:rPr>
          <w:spacing w:val="2"/>
        </w:rPr>
        <w:t>补充</w:t>
      </w:r>
      <w:r>
        <w:rPr>
          <w:spacing w:val="-2"/>
        </w:rPr>
        <w:t>信息：</w:t>
      </w:r>
    </w:p>
    <w:p>
      <w:pPr>
        <w:spacing w:before="0"/>
        <w:ind w:left="1608" w:right="5570" w:firstLine="0"/>
        <w:jc w:val="left"/>
        <w:rPr>
          <w:sz w:val="18"/>
        </w:rPr>
        <w:pStyle w:val="P68B1DB1-Normal24"/>
      </w:pPr>
      <w:r>
        <w:t>这些产品在典型的使用配置中进行了测试</w:t>
      </w:r>
      <w:r>
        <w:t>RoHS豁免适用6（a）），7（c）-II</w:t>
      </w:r>
    </w:p>
    <w:p>
      <w:pPr>
        <w:spacing w:before="91"/>
        <w:ind w:left="1608" w:right="0" w:firstLine="0"/>
        <w:jc w:val="left"/>
        <w:rPr>
          <w:sz w:val="18"/>
        </w:rPr>
        <w:pStyle w:val="P68B1DB1-Normal24"/>
      </w:pPr>
      <w:r>
        <w:rPr>
          <w:spacing w:val="-2"/>
        </w:rPr>
        <w:t>代表</w:t>
      </w:r>
      <w:r>
        <w:rPr>
          <w:spacing w:val="-2"/>
        </w:rPr>
        <w:t>MadgeTech，</w:t>
      </w:r>
      <w:r>
        <w:rPr>
          <w:spacing w:val="-4"/>
        </w:rPr>
        <w:t>Inc.声明</w:t>
      </w:r>
    </w:p>
    <w:p>
      <w:pPr>
        <w:pStyle w:val="BodyText"/>
        <w:rPr>
          <w:sz w:val="18"/>
        </w:rPr>
      </w:pPr>
    </w:p>
    <w:p>
      <w:pPr>
        <w:pStyle w:val="BodyText"/>
        <w:spacing w:before="191"/>
        <w:rPr>
          <w:sz w:val="18"/>
        </w:rPr>
      </w:pPr>
    </w:p>
    <w:p>
      <w:pPr>
        <w:spacing w:before="0"/>
        <w:ind w:left="1608" w:right="0" w:firstLine="0"/>
        <w:jc w:val="left"/>
        <w:rPr>
          <w:sz w:val="18"/>
        </w:rPr>
        <w:pStyle w:val="P68B1DB1-Normal24"/>
      </w:pPr>
      <w:r>
        <w:rPr>
          <w:spacing w:val="-2"/>
        </w:rPr>
        <w:t xml:space="preserve">Dianne Moulton，质量经理</w:t>
      </w:r>
    </w:p>
    <w:p>
      <w:pPr>
        <w:tabs>
          <w:tab w:pos="5208" w:val="left" w:leader="none"/>
        </w:tabs>
        <w:spacing w:before="0"/>
        <w:ind w:left="1608" w:right="0" w:firstLine="0"/>
        <w:jc w:val="left"/>
        <w:rPr>
          <w:sz w:val="18"/>
        </w:rPr>
        <w:pStyle w:val="P68B1DB1-Normal24"/>
      </w:pPr>
      <w:r>
        <w:rPr>
          <w:spacing w:val="-4"/>
        </w:rPr>
        <w:t>发布</w:t>
      </w:r>
      <w:r>
        <w:rPr>
          <w:spacing w:val="-4"/>
        </w:rPr>
        <w:t>者：</w:t>
      </w:r>
      <w:r>
        <w:rPr>
          <w:spacing w:val="-4"/>
        </w:rPr>
        <w:t>MadgeTech，</w:t>
      </w:r>
      <w:r>
        <w:rPr>
          <w:spacing w:val="-4"/>
        </w:rPr>
        <w:t xml:space="preserve">Inc. </w:t>
      </w:r>
      <w:r>
        <w:rPr>
          <w:spacing w:val="-4"/>
        </w:rPr>
        <w:t>Warner，</w:t>
      </w:r>
      <w:r>
        <w:rPr>
          <w:spacing w:val="-4"/>
        </w:rPr>
        <w:t>NH</w:t>
      </w:r>
      <w:r>
        <w:rPr>
          <w:spacing w:val="-5"/>
        </w:rPr>
        <w:t>USA</w:t>
      </w:r>
      <w:r>
        <w:t>发布</w:t>
      </w:r>
      <w:r>
        <w:rPr>
          <w:spacing w:val="-5"/>
        </w:rPr>
        <w:t>日期：</w:t>
      </w:r>
    </w:p>
    <w:sectPr>
      <w:type w:val="continuous"/>
      <w:pgSz w:w="12240" w:h="15840"/>
      <w:pgMar w:header="148" w:footer="0" w:top="1220" w:bottom="280" w:left="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43" name="图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图43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83F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23845" cy="766445"/>
              <wp:effectExtent l="0" t="0" r="0" b="0"/>
              <wp:wrapNone/>
              <wp:docPr id="44" name="文本框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文本框44"/>
                    <wps:cNvSpPr txBox="1"/>
                    <wps:spPr>
                      <a:xfrm>
                        <a:off x="0" y="0"/>
                        <a:ext cx="2823845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30"/>
                          </w:pPr>
                          <w:r>
                            <w:t>Temp1000Ex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27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872490" cy="233045"/>
              <wp:effectExtent l="0" t="0" r="0" b="0"/>
              <wp:wrapNone/>
              <wp:docPr id="59" name="文本框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文本框59"/>
                    <wps:cNvSpPr txBox="1"/>
                    <wps:spPr>
                      <a:xfrm>
                        <a:off x="0" y="0"/>
                        <a:ext cx="87249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30"/>
                          </w:pPr>
                          <w:r>
                            <w:t>Temp1000Ex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9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89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0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0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0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9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5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7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" w:hanging="288"/>
      </w:pPr>
      <w:rPr>
        <w:rFonts w:hint="default"/>
        <w:lang w:val="en-US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20"/>
      <w:outlineLvl w:val="1"/>
    </w:pPr>
    <w:rPr>
      <w:rFonts w:ascii="Calibri" w:hAnsi="Calibri" w:cs="Calibri" w:eastAsia="Calibri"/>
      <w:sz w:val="48"/>
      <w:szCs w:val="48"/>
    </w:rPr>
  </w:style>
  <w:style w:styleId="Heading2" w:type="paragraph">
    <w:name w:val="Heading 2"/>
    <w:basedOn w:val="Normal"/>
    <w:uiPriority w:val="1"/>
    <w:qFormat/>
    <w:pPr>
      <w:spacing w:before="141"/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Trebuchet MS" w:hAnsi="Trebuchet MS" w:cs="Trebuchet MS" w:eastAsia="Trebuchet MS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48"/>
      <w:ind w:left="720"/>
      <w:outlineLvl w:val="4"/>
    </w:pPr>
    <w:rPr>
      <w:rFonts w:ascii="Trebuchet MS" w:hAnsi="Trebuchet MS" w:cs="Trebuchet MS" w:eastAsia="Trebuchet MS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274"/>
      <w:ind w:left="720" w:right="512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899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Title1">
    <w:name w:val="P68B1DB1-Title1"/>
    <w:basedOn w:val="Title"/>
    <w:rPr>
      <w:color w:val="A83F52"/>
      <w:w w:val="105"/>
    </w:rPr>
  </w:style>
  <w:style w:type="paragraph" w:styleId="P68B1DB1-Normal2">
    <w:name w:val="P68B1DB1-Normal2"/>
    <w:basedOn w:val="Normal"/>
    <w:rPr>
      <w:sz w:val="24"/>
    </w:rPr>
  </w:style>
  <w:style w:type="paragraph" w:styleId="P68B1DB1-Normal3">
    <w:name w:val="P68B1DB1-Normal3"/>
    <w:basedOn w:val="Normal"/>
    <w:rPr>
      <w:b/>
      <w:color w:val="FFFFFF"/>
      <w:w w:val="105"/>
      <w:sz w:val="28"/>
    </w:rPr>
  </w:style>
  <w:style w:type="paragraph" w:styleId="P68B1DB1-BodyText4">
    <w:name w:val="P68B1DB1-BodyText4"/>
    <w:basedOn w:val="BodyText"/>
    <w:rPr>
      <w:sz w:val="20"/>
    </w:rPr>
  </w:style>
  <w:style w:type="paragraph" w:styleId="P68B1DB1-Normal5">
    <w:name w:val="P68B1DB1-Normal5"/>
    <w:basedOn w:val="Normal"/>
    <w:rPr>
      <w:color w:val="A83F52"/>
      <w:sz w:val="24"/>
    </w:rPr>
  </w:style>
  <w:style w:type="paragraph" w:styleId="P68B1DB1-Normal6">
    <w:name w:val="P68B1DB1-Normal6"/>
    <w:basedOn w:val="Normal"/>
    <w:rPr>
      <w:color w:val="FFFFFF"/>
      <w:spacing w:val="-2"/>
      <w:w w:val="105"/>
      <w:sz w:val="60"/>
    </w:rPr>
  </w:style>
  <w:style w:type="paragraph" w:styleId="P68B1DB1-Normal7">
    <w:name w:val="P68B1DB1-Normal7"/>
    <w:basedOn w:val="Normal"/>
    <w:rPr>
      <w:color w:val="FFFFFF"/>
      <w:sz w:val="36"/>
    </w:rPr>
  </w:style>
  <w:style w:type="paragraph" w:styleId="P68B1DB1-BodyText8">
    <w:name w:val="P68B1DB1-BodyText8"/>
    <w:basedOn w:val="BodyText"/>
    <w:rPr>
      <w:sz w:val="2"/>
    </w:rPr>
  </w:style>
  <w:style w:type="paragraph" w:styleId="P68B1DB1-Heading29">
    <w:name w:val="P68B1DB1-Heading29"/>
    <w:basedOn w:val="Heading2"/>
    <w:rPr>
      <w:color w:val="A83F52"/>
      <w:w w:val="105"/>
    </w:rPr>
  </w:style>
  <w:style w:type="paragraph" w:styleId="P68B1DB1-Heading410">
    <w:name w:val="P68B1DB1-Heading410"/>
    <w:basedOn w:val="Heading4"/>
    <w:rPr>
      <w:rFonts w:ascii="Calibri"/>
      <w:w w:val="105"/>
    </w:rPr>
  </w:style>
  <w:style w:type="paragraph" w:styleId="P68B1DB1-Heading311">
    <w:name w:val="P68B1DB1-Heading311"/>
    <w:basedOn w:val="Heading3"/>
    <w:rPr>
      <w:color w:val="A83F52"/>
    </w:rPr>
  </w:style>
  <w:style w:type="paragraph" w:styleId="P68B1DB1-Heading412">
    <w:name w:val="P68B1DB1-Heading412"/>
    <w:basedOn w:val="Heading4"/>
    <w:rPr>
      <w:rFonts w:ascii="Calibri"/>
      <w:spacing w:val="-2"/>
      <w:w w:val="105"/>
    </w:rPr>
  </w:style>
  <w:style w:type="paragraph" w:styleId="P68B1DB1-Heading413">
    <w:name w:val="P68B1DB1-Heading413"/>
    <w:basedOn w:val="Heading4"/>
    <w:rPr>
      <w:color w:val="A83F52"/>
    </w:rPr>
  </w:style>
  <w:style w:type="paragraph" w:styleId="P68B1DB1-Normal14">
    <w:name w:val="P68B1DB1-Normal14"/>
    <w:basedOn w:val="Normal"/>
    <w:rPr>
      <w:i/>
      <w:sz w:val="18"/>
    </w:rPr>
  </w:style>
  <w:style w:type="paragraph" w:styleId="P68B1DB1-Normal15">
    <w:name w:val="P68B1DB1-Normal15"/>
    <w:basedOn w:val="Normal"/>
    <w:rPr>
      <w:color w:val="A83F52"/>
      <w:sz w:val="18"/>
    </w:rPr>
  </w:style>
  <w:style w:type="paragraph" w:styleId="P68B1DB1-Heading216">
    <w:name w:val="P68B1DB1-Heading216"/>
    <w:basedOn w:val="Heading2"/>
    <w:rPr>
      <w:color w:val="A83F52"/>
    </w:rPr>
  </w:style>
  <w:style w:type="paragraph" w:styleId="P68B1DB1-Normal17">
    <w:name w:val="P68B1DB1-Normal17"/>
    <w:basedOn w:val="Normal"/>
    <w:rPr>
      <w:color w:val="A83F52"/>
    </w:rPr>
  </w:style>
  <w:style w:type="paragraph" w:styleId="P68B1DB1-Heading418">
    <w:name w:val="P68B1DB1-Heading418"/>
    <w:basedOn w:val="Heading4"/>
    <w:rPr>
      <w:color w:val="A83F52"/>
      <w:spacing w:val="-2"/>
    </w:rPr>
  </w:style>
  <w:style w:type="paragraph" w:styleId="P68B1DB1-Heading419">
    <w:name w:val="P68B1DB1-Heading419"/>
    <w:basedOn w:val="Heading4"/>
    <w:rPr>
      <w:rFonts w:ascii="Calibri"/>
    </w:rPr>
  </w:style>
  <w:style w:type="paragraph" w:styleId="P68B1DB1-Normal20">
    <w:name w:val="P68B1DB1-Normal20"/>
    <w:basedOn w:val="Normal"/>
    <w:rPr>
      <w:i/>
      <w:sz w:val="16"/>
    </w:rPr>
  </w:style>
  <w:style w:type="paragraph" w:styleId="P68B1DB1-Normal21">
    <w:name w:val="P68B1DB1-Normal21"/>
    <w:basedOn w:val="Normal"/>
    <w:rPr>
      <w:rFonts w:ascii="Trebuchet MS"/>
      <w:b/>
      <w:color w:val="A83F52"/>
      <w:spacing w:val="-2"/>
      <w:sz w:val="24"/>
    </w:rPr>
  </w:style>
  <w:style w:type="paragraph" w:styleId="P68B1DB1-Normal22">
    <w:name w:val="P68B1DB1-Normal22"/>
    <w:basedOn w:val="Normal"/>
    <w:rPr>
      <w:color w:val="000000"/>
    </w:rPr>
  </w:style>
  <w:style w:type="paragraph" w:styleId="P68B1DB1-Heading123">
    <w:name w:val="P68B1DB1-Heading123"/>
    <w:basedOn w:val="Heading1"/>
    <w:rPr>
      <w:color w:val="A83F52"/>
      <w:w w:val="105"/>
    </w:rPr>
  </w:style>
  <w:style w:type="paragraph" w:styleId="P68B1DB1-Normal24">
    <w:name w:val="P68B1DB1-Normal24"/>
    <w:basedOn w:val="Normal"/>
    <w:rPr>
      <w:sz w:val="18"/>
    </w:rPr>
  </w:style>
  <w:style w:type="paragraph" w:styleId="P68B1DB1-Normal25">
    <w:name w:val="P68B1DB1-Normal25"/>
    <w:basedOn w:val="Normal"/>
    <w:rPr>
      <w:b/>
      <w:w w:val="105"/>
      <w:sz w:val="18"/>
    </w:rPr>
  </w:style>
  <w:style w:type="paragraph" w:styleId="P68B1DB1-Normal26">
    <w:name w:val="P68B1DB1-Normal26"/>
    <w:basedOn w:val="Normal"/>
    <w:rPr>
      <w:sz w:val="20"/>
    </w:rPr>
  </w:style>
  <w:style w:type="paragraph" w:styleId="P68B1DB1-Normal27">
    <w:name w:val="P68B1DB1-Normal27"/>
    <w:basedOn w:val="Normal"/>
    <w:rPr>
      <w:color w:val="FFFFFF"/>
      <w:sz w:val="48"/>
    </w:rPr>
  </w:style>
  <w:style w:type="paragraph" w:styleId="P68B1DB1-Normal28">
    <w:name w:val="P68B1DB1-Normal28"/>
    <w:basedOn w:val="Normal"/>
    <w:rPr>
      <w:b/>
      <w:sz w:val="18"/>
    </w:rPr>
  </w:style>
  <w:style w:type="paragraph" w:styleId="P68B1DB1-Normal29">
    <w:name w:val="P68B1DB1-Normal29"/>
    <w:basedOn w:val="Normal"/>
    <w:rPr>
      <w:w w:val="90"/>
      <w:sz w:val="18"/>
    </w:rPr>
  </w:style>
  <w:style w:type="paragraph" w:styleId="P68B1DB1-Normal30">
    <w:name w:val="P68B1DB1-Normal30"/>
    <w:basedOn w:val="Normal"/>
    <w:rPr>
      <w:color w:val="A83F52"/>
      <w:spacing w:val="-2"/>
      <w:w w:val="105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madgetech.com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hyperlink" Target="https://www.madgetech.com/products/temp1000ex/" TargetMode="External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hyperlink" Target="mailto:sales@eofirm.com" TargetMode="External"/><Relationship Id="rId24" Type="http://schemas.openxmlformats.org/officeDocument/2006/relationships/hyperlink" Target="http://www.eofirm.com/" TargetMode="External"/><Relationship Id="rId25" Type="http://schemas.openxmlformats.org/officeDocument/2006/relationships/header" Target="header2.xml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2024-11-13T05:10:34Z</dcterms:created>
  <dcterms:modified xsi:type="dcterms:W3CDTF">2024-11-13T05:10:34Z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15.0</vt:lpwstr>
  </property>
</Properties>
</file>